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B09" w:rsidRPr="00AA5B09" w:rsidRDefault="00AA5B09" w:rsidP="00AA5B09">
      <w:pPr>
        <w:pStyle w:val="default"/>
        <w:spacing w:after="0"/>
        <w:jc w:val="center"/>
        <w:rPr>
          <w:sz w:val="18"/>
          <w:szCs w:val="18"/>
        </w:rPr>
      </w:pPr>
      <w:r w:rsidRPr="00AA5B09">
        <w:rPr>
          <w:b/>
          <w:bCs/>
          <w:sz w:val="28"/>
          <w:szCs w:val="22"/>
        </w:rPr>
        <w:t>Oficio N° 220-000205</w:t>
      </w:r>
      <w:bookmarkStart w:id="0" w:name="_GoBack"/>
      <w:bookmarkEnd w:id="0"/>
    </w:p>
    <w:p w:rsidR="00AA5B09" w:rsidRPr="00AA5B09" w:rsidRDefault="00AA5B09" w:rsidP="00AA5B09">
      <w:pPr>
        <w:pStyle w:val="default"/>
        <w:spacing w:after="0"/>
        <w:jc w:val="center"/>
        <w:rPr>
          <w:sz w:val="18"/>
          <w:szCs w:val="18"/>
        </w:rPr>
      </w:pPr>
      <w:r w:rsidRPr="00AA5B09">
        <w:rPr>
          <w:b/>
          <w:bCs/>
          <w:sz w:val="28"/>
          <w:szCs w:val="22"/>
        </w:rPr>
        <w:t>04-01-2013</w:t>
      </w:r>
    </w:p>
    <w:p w:rsidR="00AA5B09" w:rsidRPr="00AA5B09" w:rsidRDefault="00AA5B09" w:rsidP="00AA5B09">
      <w:pPr>
        <w:pStyle w:val="default"/>
        <w:spacing w:after="0"/>
        <w:jc w:val="center"/>
        <w:rPr>
          <w:sz w:val="18"/>
          <w:szCs w:val="18"/>
        </w:rPr>
      </w:pPr>
      <w:r w:rsidRPr="00AA5B09">
        <w:rPr>
          <w:b/>
          <w:bCs/>
          <w:sz w:val="28"/>
          <w:szCs w:val="22"/>
        </w:rPr>
        <w:t>Superintendencia de Sociedades</w:t>
      </w:r>
    </w:p>
    <w:p w:rsidR="00AA5B09" w:rsidRPr="00AA5B09" w:rsidRDefault="00AA5B09" w:rsidP="00AA5B09">
      <w:pPr>
        <w:pStyle w:val="default"/>
        <w:spacing w:after="0"/>
        <w:jc w:val="both"/>
        <w:rPr>
          <w:sz w:val="18"/>
          <w:szCs w:val="18"/>
        </w:rPr>
      </w:pPr>
      <w:r w:rsidRPr="00AA5B09">
        <w:rPr>
          <w:b/>
          <w:bCs/>
          <w:sz w:val="22"/>
          <w:szCs w:val="22"/>
        </w:rPr>
        <w:t> </w:t>
      </w:r>
    </w:p>
    <w:p w:rsidR="00AA5B09" w:rsidRPr="00AA5B09" w:rsidRDefault="00AA5B09" w:rsidP="00AA5B09">
      <w:pPr>
        <w:pStyle w:val="default"/>
        <w:spacing w:after="0"/>
        <w:jc w:val="both"/>
        <w:rPr>
          <w:sz w:val="18"/>
          <w:szCs w:val="18"/>
        </w:rPr>
      </w:pPr>
      <w:r w:rsidRPr="00AA5B09">
        <w:rPr>
          <w:b/>
          <w:bCs/>
          <w:sz w:val="22"/>
          <w:szCs w:val="22"/>
        </w:rPr>
        <w:t> </w:t>
      </w:r>
    </w:p>
    <w:p w:rsidR="00AA5B09" w:rsidRPr="00AA5B09" w:rsidRDefault="00AA5B09" w:rsidP="00AA5B09">
      <w:pPr>
        <w:pStyle w:val="default"/>
        <w:spacing w:after="0"/>
        <w:jc w:val="both"/>
        <w:rPr>
          <w:sz w:val="18"/>
          <w:szCs w:val="18"/>
        </w:rPr>
      </w:pPr>
      <w:r w:rsidRPr="00AA5B09">
        <w:rPr>
          <w:b/>
          <w:bCs/>
          <w:sz w:val="22"/>
          <w:szCs w:val="22"/>
        </w:rPr>
        <w:t>ASUNTO: Inversión extranjera.- Efectos del registro</w:t>
      </w:r>
    </w:p>
    <w:p w:rsidR="00AA5B09" w:rsidRPr="00AA5B09" w:rsidRDefault="00AA5B09" w:rsidP="00AA5B09">
      <w:pPr>
        <w:pStyle w:val="default"/>
        <w:spacing w:after="0"/>
        <w:jc w:val="both"/>
        <w:rPr>
          <w:sz w:val="18"/>
          <w:szCs w:val="18"/>
        </w:rPr>
      </w:pPr>
      <w:r w:rsidRPr="00AA5B09">
        <w:rPr>
          <w:sz w:val="22"/>
          <w:szCs w:val="22"/>
        </w:rPr>
        <w:t> </w:t>
      </w:r>
    </w:p>
    <w:p w:rsidR="00AA5B09" w:rsidRPr="00AA5B09" w:rsidRDefault="00AA5B09" w:rsidP="00AA5B09">
      <w:pPr>
        <w:pStyle w:val="default"/>
        <w:spacing w:after="0"/>
        <w:jc w:val="both"/>
        <w:rPr>
          <w:sz w:val="18"/>
          <w:szCs w:val="18"/>
        </w:rPr>
      </w:pPr>
      <w:r w:rsidRPr="00AA5B09">
        <w:rPr>
          <w:sz w:val="22"/>
          <w:szCs w:val="22"/>
        </w:rPr>
        <w:t>Me refiero a su comunicación radicada con el número 2012-01-321930, mediante la cual El Banco de la República remitió la consulta por usted presentada, la que a continuación se transcribe.</w:t>
      </w:r>
    </w:p>
    <w:p w:rsidR="00AA5B09" w:rsidRPr="00AA5B09" w:rsidRDefault="00AA5B09" w:rsidP="00AA5B09">
      <w:pPr>
        <w:pStyle w:val="default"/>
        <w:spacing w:after="0"/>
        <w:jc w:val="both"/>
        <w:rPr>
          <w:sz w:val="18"/>
          <w:szCs w:val="18"/>
        </w:rPr>
      </w:pPr>
      <w:r w:rsidRPr="00AA5B09">
        <w:rPr>
          <w:sz w:val="22"/>
          <w:szCs w:val="22"/>
        </w:rPr>
        <w:t> </w:t>
      </w:r>
    </w:p>
    <w:p w:rsidR="00AA5B09" w:rsidRPr="00AA5B09" w:rsidRDefault="00AA5B09" w:rsidP="00AA5B09">
      <w:pPr>
        <w:pStyle w:val="default"/>
        <w:spacing w:after="0"/>
        <w:jc w:val="both"/>
        <w:rPr>
          <w:sz w:val="18"/>
          <w:szCs w:val="18"/>
        </w:rPr>
      </w:pPr>
      <w:r w:rsidRPr="00AA5B09">
        <w:rPr>
          <w:sz w:val="22"/>
          <w:szCs w:val="22"/>
        </w:rPr>
        <w:t>1. Si una sociedad extranjera trajo a la República de Colombia (por mala asesoría) sus divisas para constituir una sociedad en el país (específicamente el monto traído fue de USO 2 500 de ese entonces) en el bolsillo del – representante Legal de la sociedad extranjera inversionista (en vez-de haberlas canalizado a través de un intermediario del sistema cambiario) Cómo puede esta empresa, transcurridos dos años de haber traída la suma anotada, legalizarla desde el punto de vista del régimen cambiario y de inversiones extranjeras?</w:t>
      </w:r>
    </w:p>
    <w:p w:rsidR="00AA5B09" w:rsidRPr="00AA5B09" w:rsidRDefault="00AA5B09" w:rsidP="00AA5B09">
      <w:pPr>
        <w:pStyle w:val="default"/>
        <w:spacing w:after="0"/>
        <w:jc w:val="both"/>
        <w:rPr>
          <w:sz w:val="18"/>
          <w:szCs w:val="18"/>
        </w:rPr>
      </w:pPr>
      <w:r w:rsidRPr="00AA5B09">
        <w:rPr>
          <w:sz w:val="22"/>
          <w:szCs w:val="22"/>
        </w:rPr>
        <w:t> </w:t>
      </w:r>
    </w:p>
    <w:p w:rsidR="00AA5B09" w:rsidRPr="00AA5B09" w:rsidRDefault="00AA5B09" w:rsidP="00AA5B09">
      <w:pPr>
        <w:pStyle w:val="default"/>
        <w:spacing w:after="0"/>
        <w:jc w:val="both"/>
        <w:rPr>
          <w:sz w:val="18"/>
          <w:szCs w:val="18"/>
        </w:rPr>
      </w:pPr>
      <w:r w:rsidRPr="00AA5B09">
        <w:rPr>
          <w:sz w:val="22"/>
          <w:szCs w:val="22"/>
        </w:rPr>
        <w:t>2. Si a estas alturas no es posible para la empresa extranjera legalizar su inversión como inversión directa del exterior, cómo puede girar sus utilidades al exterior, si no es inversionista extranjero, sin infringir el Estatuto Cambiario</w:t>
      </w:r>
      <w:proofErr w:type="gramStart"/>
      <w:r w:rsidRPr="00AA5B09">
        <w:rPr>
          <w:rStyle w:val="grame"/>
          <w:sz w:val="22"/>
          <w:szCs w:val="22"/>
        </w:rPr>
        <w:t>?</w:t>
      </w:r>
      <w:proofErr w:type="gramEnd"/>
    </w:p>
    <w:p w:rsidR="00AA5B09" w:rsidRPr="00AA5B09" w:rsidRDefault="00AA5B09" w:rsidP="00AA5B09">
      <w:pPr>
        <w:pStyle w:val="default"/>
        <w:spacing w:after="0"/>
        <w:jc w:val="both"/>
        <w:rPr>
          <w:sz w:val="18"/>
          <w:szCs w:val="18"/>
        </w:rPr>
      </w:pPr>
      <w:r w:rsidRPr="00AA5B09">
        <w:rPr>
          <w:sz w:val="22"/>
          <w:szCs w:val="22"/>
        </w:rPr>
        <w:t> </w:t>
      </w:r>
    </w:p>
    <w:p w:rsidR="00AA5B09" w:rsidRPr="00AA5B09" w:rsidRDefault="00AA5B09" w:rsidP="00AA5B09">
      <w:pPr>
        <w:pStyle w:val="default"/>
        <w:spacing w:after="0"/>
        <w:jc w:val="both"/>
        <w:rPr>
          <w:sz w:val="18"/>
          <w:szCs w:val="18"/>
        </w:rPr>
      </w:pPr>
      <w:r w:rsidRPr="00AA5B09">
        <w:rPr>
          <w:sz w:val="22"/>
          <w:szCs w:val="22"/>
        </w:rPr>
        <w:t xml:space="preserve">3. El giro de utilidades a la casa matriz cuando ésta no tiene la calidad de inversionista extranjera ¿constituye una infracción cambiaria </w:t>
      </w:r>
      <w:r w:rsidRPr="00AA5B09">
        <w:rPr>
          <w:rStyle w:val="spelle"/>
          <w:sz w:val="22"/>
          <w:szCs w:val="22"/>
        </w:rPr>
        <w:t>per</w:t>
      </w:r>
      <w:r w:rsidRPr="00AA5B09">
        <w:rPr>
          <w:sz w:val="22"/>
          <w:szCs w:val="22"/>
        </w:rPr>
        <w:t>-se? ¿Cuál sería el fundamento de esta afirmación?</w:t>
      </w:r>
    </w:p>
    <w:p w:rsidR="00AA5B09" w:rsidRPr="00AA5B09" w:rsidRDefault="00AA5B09" w:rsidP="00AA5B09">
      <w:pPr>
        <w:pStyle w:val="default"/>
        <w:spacing w:after="0"/>
        <w:jc w:val="both"/>
        <w:rPr>
          <w:sz w:val="18"/>
          <w:szCs w:val="18"/>
        </w:rPr>
      </w:pPr>
      <w:r w:rsidRPr="00AA5B09">
        <w:rPr>
          <w:sz w:val="22"/>
          <w:szCs w:val="22"/>
        </w:rPr>
        <w:t> </w:t>
      </w:r>
    </w:p>
    <w:p w:rsidR="00AA5B09" w:rsidRPr="00AA5B09" w:rsidRDefault="00AA5B09" w:rsidP="00AA5B09">
      <w:pPr>
        <w:pStyle w:val="default"/>
        <w:spacing w:after="0"/>
        <w:jc w:val="both"/>
        <w:rPr>
          <w:sz w:val="18"/>
          <w:szCs w:val="18"/>
        </w:rPr>
      </w:pPr>
      <w:r w:rsidRPr="00AA5B09">
        <w:rPr>
          <w:sz w:val="22"/>
          <w:szCs w:val="22"/>
        </w:rPr>
        <w:t xml:space="preserve">4. </w:t>
      </w:r>
      <w:proofErr w:type="spellStart"/>
      <w:r w:rsidRPr="00AA5B09">
        <w:rPr>
          <w:sz w:val="22"/>
          <w:szCs w:val="22"/>
        </w:rPr>
        <w:t>Aún</w:t>
      </w:r>
      <w:proofErr w:type="spellEnd"/>
      <w:r w:rsidRPr="00AA5B09">
        <w:rPr>
          <w:sz w:val="22"/>
          <w:szCs w:val="22"/>
        </w:rPr>
        <w:t xml:space="preserve"> así el giro de estas utilidades para quien no está registrada como inversionista directo del exterior, es posible. </w:t>
      </w:r>
      <w:r w:rsidRPr="00AA5B09">
        <w:rPr>
          <w:rStyle w:val="grame"/>
          <w:sz w:val="22"/>
          <w:szCs w:val="22"/>
        </w:rPr>
        <w:t>No</w:t>
      </w:r>
      <w:r w:rsidRPr="00AA5B09">
        <w:rPr>
          <w:sz w:val="22"/>
          <w:szCs w:val="22"/>
        </w:rPr>
        <w:t xml:space="preserve"> entiendo por qué me informan que esa operación la puedo realizar a través del llamado formulario 5. Me pueden explicar, par favor cómo sería la mecánica y cuál ítem se utilizarla en este caso</w:t>
      </w:r>
      <w:proofErr w:type="gramStart"/>
      <w:r w:rsidRPr="00AA5B09">
        <w:rPr>
          <w:rStyle w:val="grame"/>
          <w:sz w:val="22"/>
          <w:szCs w:val="22"/>
        </w:rPr>
        <w:t>?</w:t>
      </w:r>
      <w:proofErr w:type="gramEnd"/>
    </w:p>
    <w:p w:rsidR="00AA5B09" w:rsidRPr="00AA5B09" w:rsidRDefault="00AA5B09" w:rsidP="00AA5B09">
      <w:pPr>
        <w:pStyle w:val="default"/>
        <w:spacing w:after="0"/>
        <w:jc w:val="both"/>
        <w:rPr>
          <w:sz w:val="18"/>
          <w:szCs w:val="18"/>
        </w:rPr>
      </w:pPr>
      <w:r w:rsidRPr="00AA5B09">
        <w:rPr>
          <w:sz w:val="22"/>
          <w:szCs w:val="22"/>
        </w:rPr>
        <w:t> </w:t>
      </w:r>
    </w:p>
    <w:p w:rsidR="00AA5B09" w:rsidRPr="00AA5B09" w:rsidRDefault="00AA5B09" w:rsidP="00AA5B09">
      <w:pPr>
        <w:pStyle w:val="default"/>
        <w:spacing w:after="0"/>
        <w:jc w:val="both"/>
        <w:rPr>
          <w:sz w:val="18"/>
          <w:szCs w:val="18"/>
        </w:rPr>
      </w:pPr>
      <w:r w:rsidRPr="00AA5B09">
        <w:rPr>
          <w:sz w:val="22"/>
          <w:szCs w:val="22"/>
        </w:rPr>
        <w:t xml:space="preserve">5. El </w:t>
      </w:r>
      <w:r w:rsidRPr="00AA5B09">
        <w:rPr>
          <w:rStyle w:val="spelle"/>
          <w:sz w:val="22"/>
          <w:szCs w:val="22"/>
        </w:rPr>
        <w:t>Sr</w:t>
      </w:r>
      <w:r w:rsidRPr="00AA5B09">
        <w:rPr>
          <w:sz w:val="22"/>
          <w:szCs w:val="22"/>
        </w:rPr>
        <w:t xml:space="preserve"> Alfonso me dijo en una conversación telefónica que el giro al exterior era posible (a través del llamado Formulario 5) pero que el giro tenía unas implicaciones financieras Me podrían explicar por qué razón la compañía extranjera no registrada debe pagar más impuestos que la registrada? </w:t>
      </w:r>
      <w:r w:rsidRPr="00AA5B09">
        <w:rPr>
          <w:rStyle w:val="grame"/>
          <w:sz w:val="22"/>
          <w:szCs w:val="22"/>
        </w:rPr>
        <w:t>¿</w:t>
      </w:r>
      <w:r w:rsidRPr="00AA5B09">
        <w:rPr>
          <w:sz w:val="22"/>
          <w:szCs w:val="22"/>
        </w:rPr>
        <w:t>En qué norma se basa tal afirmación?</w:t>
      </w:r>
    </w:p>
    <w:p w:rsidR="00AA5B09" w:rsidRPr="00AA5B09" w:rsidRDefault="00AA5B09" w:rsidP="00AA5B09">
      <w:pPr>
        <w:pStyle w:val="default"/>
        <w:spacing w:after="0"/>
        <w:jc w:val="both"/>
        <w:rPr>
          <w:sz w:val="18"/>
          <w:szCs w:val="18"/>
        </w:rPr>
      </w:pPr>
      <w:r w:rsidRPr="00AA5B09">
        <w:rPr>
          <w:sz w:val="22"/>
          <w:szCs w:val="22"/>
        </w:rPr>
        <w:t> </w:t>
      </w:r>
    </w:p>
    <w:p w:rsidR="00AA5B09" w:rsidRPr="00AA5B09" w:rsidRDefault="00AA5B09" w:rsidP="00AA5B09">
      <w:pPr>
        <w:pStyle w:val="default"/>
        <w:spacing w:after="0"/>
        <w:jc w:val="both"/>
        <w:rPr>
          <w:sz w:val="18"/>
          <w:szCs w:val="18"/>
        </w:rPr>
      </w:pPr>
      <w:r w:rsidRPr="00AA5B09">
        <w:rPr>
          <w:sz w:val="22"/>
          <w:szCs w:val="22"/>
        </w:rPr>
        <w:t>6. Es posible para la sociedad extranjera dueña de la inversión (así no sea inversionista extranjera) enajenar su inversión a otro inversionista extranjero sin traer las divisas respectivas al país</w:t>
      </w:r>
      <w:proofErr w:type="gramStart"/>
      <w:r w:rsidRPr="00AA5B09">
        <w:rPr>
          <w:rStyle w:val="grame"/>
          <w:sz w:val="22"/>
          <w:szCs w:val="22"/>
        </w:rPr>
        <w:t>?</w:t>
      </w:r>
      <w:proofErr w:type="gramEnd"/>
      <w:r w:rsidRPr="00AA5B09">
        <w:rPr>
          <w:sz w:val="22"/>
          <w:szCs w:val="22"/>
        </w:rPr>
        <w:t xml:space="preserve"> En este caso se requeriría abrir una cuenta de compensación siendo la compañía extranjera inversionista colombiano según la normativa vigente</w:t>
      </w:r>
      <w:proofErr w:type="gramStart"/>
      <w:r w:rsidRPr="00AA5B09">
        <w:rPr>
          <w:rStyle w:val="grame"/>
          <w:sz w:val="22"/>
          <w:szCs w:val="22"/>
        </w:rPr>
        <w:t>?</w:t>
      </w:r>
      <w:proofErr w:type="gramEnd"/>
      <w:r w:rsidRPr="00AA5B09">
        <w:rPr>
          <w:sz w:val="22"/>
          <w:szCs w:val="22"/>
        </w:rPr>
        <w:t xml:space="preserve"> Quedo especialmente atento a sus noticias y le agradezco una vez más su amable atención.</w:t>
      </w:r>
    </w:p>
    <w:p w:rsidR="00AA5B09" w:rsidRPr="00AA5B09" w:rsidRDefault="00AA5B09" w:rsidP="00AA5B09">
      <w:pPr>
        <w:pStyle w:val="default"/>
        <w:spacing w:after="0"/>
        <w:jc w:val="both"/>
        <w:rPr>
          <w:sz w:val="18"/>
          <w:szCs w:val="18"/>
        </w:rPr>
      </w:pPr>
      <w:r w:rsidRPr="00AA5B09">
        <w:rPr>
          <w:sz w:val="22"/>
          <w:szCs w:val="22"/>
        </w:rPr>
        <w:t> </w:t>
      </w:r>
    </w:p>
    <w:p w:rsidR="00AA5B09" w:rsidRPr="00AA5B09" w:rsidRDefault="00AA5B09" w:rsidP="00AA5B09">
      <w:pPr>
        <w:pStyle w:val="default"/>
        <w:spacing w:after="0"/>
        <w:jc w:val="both"/>
        <w:rPr>
          <w:sz w:val="18"/>
          <w:szCs w:val="18"/>
        </w:rPr>
      </w:pPr>
      <w:r w:rsidRPr="00AA5B09">
        <w:rPr>
          <w:sz w:val="22"/>
          <w:szCs w:val="22"/>
        </w:rPr>
        <w:t>Antes de responder los interrogantes planteados, considero del caso manifestar que el marco legal que regula las relaciones jurídicas que involucran operaciones de inversión extranjera en el país, está contenido en el Régimen Cambiario contenido en la Resolución 8 del 5 de mayo de 2000, en el Estatuto de Inversiones Internacionales previsto por el Decreto 2080 del 18 de octubre de 2000, modificado por el Decreto 1844 del 2 de julio de 2003, así como en la circulares Reglamentarias emanadas del Banco de la República en cuanto señalan los procedimientos dentro de los cuales deben cumplirse las formalidades de registro de cada operación.</w:t>
      </w:r>
    </w:p>
    <w:p w:rsidR="00AA5B09" w:rsidRPr="00AA5B09" w:rsidRDefault="00AA5B09" w:rsidP="00AA5B09">
      <w:pPr>
        <w:pStyle w:val="default"/>
        <w:spacing w:after="0"/>
        <w:jc w:val="both"/>
        <w:rPr>
          <w:sz w:val="18"/>
          <w:szCs w:val="18"/>
        </w:rPr>
      </w:pPr>
      <w:r w:rsidRPr="00AA5B09">
        <w:rPr>
          <w:sz w:val="22"/>
          <w:szCs w:val="22"/>
        </w:rPr>
        <w:t> </w:t>
      </w:r>
    </w:p>
    <w:p w:rsidR="00AA5B09" w:rsidRPr="00AA5B09" w:rsidRDefault="00AA5B09" w:rsidP="00AA5B09">
      <w:pPr>
        <w:pStyle w:val="default"/>
        <w:spacing w:after="0"/>
        <w:jc w:val="both"/>
        <w:rPr>
          <w:sz w:val="18"/>
          <w:szCs w:val="18"/>
        </w:rPr>
      </w:pPr>
      <w:r w:rsidRPr="00AA5B09">
        <w:rPr>
          <w:sz w:val="22"/>
          <w:szCs w:val="22"/>
        </w:rPr>
        <w:t xml:space="preserve">Ahora bien, a la luz del artículo 1° del Decreto 2080 del 18 de octubre de 2000, por el cual se expide el Régimen General de Inversiones de capital del exterior en Colombia y de capital </w:t>
      </w:r>
      <w:r w:rsidRPr="00AA5B09">
        <w:rPr>
          <w:sz w:val="22"/>
          <w:szCs w:val="22"/>
        </w:rPr>
        <w:lastRenderedPageBreak/>
        <w:t>colombiano en el exterior, modificado por el Decreto 1844 del 2 de julio de 2003, “se consideran inversiones internacionales sujetas al presente Decreto: a) Las inversiones de capital del exterior en territorio colombiano incluidas las zonas francas colombianas por parte de personas no residentes en Colombia y, b) las inversiones realizadas por un residente del país en el extranjero o en zona franca Colombiana”.</w:t>
      </w:r>
    </w:p>
    <w:p w:rsidR="00AA5B09" w:rsidRPr="00AA5B09" w:rsidRDefault="00AA5B09" w:rsidP="00AA5B09">
      <w:pPr>
        <w:pStyle w:val="default"/>
        <w:spacing w:after="0"/>
        <w:jc w:val="both"/>
        <w:rPr>
          <w:sz w:val="18"/>
          <w:szCs w:val="18"/>
        </w:rPr>
      </w:pPr>
      <w:r w:rsidRPr="00AA5B09">
        <w:rPr>
          <w:sz w:val="22"/>
          <w:szCs w:val="22"/>
        </w:rPr>
        <w:t> </w:t>
      </w:r>
    </w:p>
    <w:p w:rsidR="00AA5B09" w:rsidRPr="00AA5B09" w:rsidRDefault="00AA5B09" w:rsidP="00AA5B09">
      <w:pPr>
        <w:pStyle w:val="default"/>
        <w:spacing w:after="0"/>
        <w:jc w:val="both"/>
        <w:rPr>
          <w:sz w:val="18"/>
          <w:szCs w:val="18"/>
        </w:rPr>
      </w:pPr>
      <w:r w:rsidRPr="00AA5B09">
        <w:rPr>
          <w:sz w:val="22"/>
          <w:szCs w:val="22"/>
        </w:rPr>
        <w:t xml:space="preserve">Por su parte, la Circular DCIN 83, emanada del Banco de la República, en el punto 7 relacionado con las inversiones internacionales, trata en el punto 7.1. </w:t>
      </w:r>
      <w:proofErr w:type="gramStart"/>
      <w:r w:rsidRPr="00AA5B09">
        <w:rPr>
          <w:rStyle w:val="grame"/>
          <w:sz w:val="22"/>
          <w:szCs w:val="22"/>
        </w:rPr>
        <w:t>acerca</w:t>
      </w:r>
      <w:proofErr w:type="gramEnd"/>
      <w:r w:rsidRPr="00AA5B09">
        <w:rPr>
          <w:sz w:val="22"/>
          <w:szCs w:val="22"/>
        </w:rPr>
        <w:t xml:space="preserve"> de los “Aspectos Generales y Procedimientos de Registro, así:</w:t>
      </w:r>
    </w:p>
    <w:p w:rsidR="00AA5B09" w:rsidRPr="00AA5B09" w:rsidRDefault="00AA5B09" w:rsidP="00AA5B09">
      <w:pPr>
        <w:pStyle w:val="default"/>
        <w:spacing w:after="0"/>
        <w:jc w:val="both"/>
        <w:rPr>
          <w:sz w:val="18"/>
          <w:szCs w:val="18"/>
        </w:rPr>
      </w:pPr>
      <w:r w:rsidRPr="00AA5B09">
        <w:rPr>
          <w:sz w:val="22"/>
          <w:szCs w:val="22"/>
        </w:rPr>
        <w:t> </w:t>
      </w:r>
    </w:p>
    <w:p w:rsidR="00AA5B09" w:rsidRPr="00AA5B09" w:rsidRDefault="00AA5B09" w:rsidP="00AA5B09">
      <w:pPr>
        <w:pStyle w:val="default"/>
        <w:spacing w:after="0"/>
        <w:jc w:val="both"/>
        <w:rPr>
          <w:sz w:val="18"/>
          <w:szCs w:val="18"/>
        </w:rPr>
      </w:pPr>
      <w:r w:rsidRPr="00AA5B09">
        <w:rPr>
          <w:sz w:val="22"/>
          <w:szCs w:val="22"/>
        </w:rPr>
        <w:t>“De acuerdo con lo dispuesto por el régimen de inversiones internacionales y normas que lo adicionen modifiquen, sustituyan o complementen, en esta circular se determinan los procedimientos para efectuar el registro de las inversiones internacionales y sus movimientos.</w:t>
      </w:r>
    </w:p>
    <w:p w:rsidR="00AA5B09" w:rsidRPr="00AA5B09" w:rsidRDefault="00AA5B09" w:rsidP="00AA5B09">
      <w:pPr>
        <w:pStyle w:val="default"/>
        <w:spacing w:after="0"/>
        <w:jc w:val="both"/>
        <w:rPr>
          <w:sz w:val="18"/>
          <w:szCs w:val="18"/>
        </w:rPr>
      </w:pPr>
      <w:r w:rsidRPr="00AA5B09">
        <w:rPr>
          <w:sz w:val="22"/>
          <w:szCs w:val="22"/>
        </w:rPr>
        <w:t> </w:t>
      </w:r>
    </w:p>
    <w:p w:rsidR="00AA5B09" w:rsidRPr="00AA5B09" w:rsidRDefault="00AA5B09" w:rsidP="00AA5B09">
      <w:pPr>
        <w:pStyle w:val="default"/>
        <w:spacing w:after="0"/>
        <w:jc w:val="both"/>
        <w:rPr>
          <w:sz w:val="18"/>
          <w:szCs w:val="18"/>
        </w:rPr>
      </w:pPr>
      <w:r w:rsidRPr="00AA5B09">
        <w:rPr>
          <w:sz w:val="22"/>
          <w:szCs w:val="22"/>
        </w:rPr>
        <w:t>Se consideran como inversiones internacionales las inversiones de capital del exterior en territorio colombiano, incluidas las zonas francas, por parte de personas no residentes en Colombia y las inversiones realizadas por un residente del país en el extranjero o en zona franca colombiana.</w:t>
      </w:r>
    </w:p>
    <w:p w:rsidR="00AA5B09" w:rsidRPr="00AA5B09" w:rsidRDefault="00AA5B09" w:rsidP="00AA5B09">
      <w:pPr>
        <w:pStyle w:val="default"/>
        <w:spacing w:after="0"/>
        <w:jc w:val="both"/>
        <w:rPr>
          <w:sz w:val="18"/>
          <w:szCs w:val="18"/>
        </w:rPr>
      </w:pPr>
      <w:r w:rsidRPr="00AA5B09">
        <w:rPr>
          <w:sz w:val="22"/>
          <w:szCs w:val="22"/>
        </w:rPr>
        <w:t> </w:t>
      </w:r>
    </w:p>
    <w:p w:rsidR="00AA5B09" w:rsidRPr="00AA5B09" w:rsidRDefault="00AA5B09" w:rsidP="00AA5B09">
      <w:pPr>
        <w:pStyle w:val="default"/>
        <w:spacing w:after="0"/>
        <w:jc w:val="both"/>
        <w:rPr>
          <w:sz w:val="18"/>
          <w:szCs w:val="18"/>
        </w:rPr>
      </w:pPr>
      <w:r w:rsidRPr="00AA5B09">
        <w:rPr>
          <w:sz w:val="22"/>
          <w:szCs w:val="22"/>
        </w:rPr>
        <w:t>Los créditos y operaciones que impliquen endeudamiento no constituyen inversión extranjera y el Banco de la República se abstendrá de realizar el registro.</w:t>
      </w:r>
    </w:p>
    <w:p w:rsidR="00AA5B09" w:rsidRPr="00AA5B09" w:rsidRDefault="00AA5B09" w:rsidP="00AA5B09">
      <w:pPr>
        <w:pStyle w:val="default"/>
        <w:spacing w:after="0"/>
        <w:jc w:val="both"/>
        <w:rPr>
          <w:sz w:val="18"/>
          <w:szCs w:val="18"/>
        </w:rPr>
      </w:pPr>
      <w:r w:rsidRPr="00AA5B09">
        <w:rPr>
          <w:sz w:val="22"/>
          <w:szCs w:val="22"/>
        </w:rPr>
        <w:t> </w:t>
      </w:r>
    </w:p>
    <w:p w:rsidR="00AA5B09" w:rsidRPr="00AA5B09" w:rsidRDefault="00AA5B09" w:rsidP="00AA5B09">
      <w:pPr>
        <w:pStyle w:val="default"/>
        <w:spacing w:after="0"/>
        <w:jc w:val="both"/>
        <w:rPr>
          <w:sz w:val="18"/>
          <w:szCs w:val="18"/>
        </w:rPr>
      </w:pPr>
      <w:r w:rsidRPr="00AA5B09">
        <w:rPr>
          <w:sz w:val="22"/>
          <w:szCs w:val="22"/>
        </w:rPr>
        <w:t>Para calificar una operación como inversión de capital del exterior en Colombia se deberá tener en cuenta a la fecha de la inversión, que el inversionista cumpla la condición de no residente en el país, que los aportes correspondan a cualquier de las modalidades autorizadas en las normas respectivas y que los recursos definitivamente se destinen a la realización de la inversión, condiciones que deberán demostrar ante las entidades de control y vigilancia, cuando ellas se las requieran.</w:t>
      </w:r>
    </w:p>
    <w:p w:rsidR="00AA5B09" w:rsidRPr="00AA5B09" w:rsidRDefault="00AA5B09" w:rsidP="00AA5B09">
      <w:pPr>
        <w:pStyle w:val="default"/>
        <w:spacing w:after="0"/>
        <w:jc w:val="both"/>
        <w:rPr>
          <w:sz w:val="18"/>
          <w:szCs w:val="18"/>
        </w:rPr>
      </w:pPr>
      <w:r w:rsidRPr="00AA5B09">
        <w:rPr>
          <w:sz w:val="22"/>
          <w:szCs w:val="22"/>
        </w:rPr>
        <w:t> </w:t>
      </w:r>
    </w:p>
    <w:p w:rsidR="00AA5B09" w:rsidRPr="00AA5B09" w:rsidRDefault="00AA5B09" w:rsidP="00AA5B09">
      <w:pPr>
        <w:pStyle w:val="default"/>
        <w:spacing w:after="0"/>
        <w:jc w:val="both"/>
        <w:rPr>
          <w:sz w:val="18"/>
          <w:szCs w:val="18"/>
        </w:rPr>
      </w:pPr>
      <w:r w:rsidRPr="00AA5B09">
        <w:rPr>
          <w:sz w:val="22"/>
          <w:szCs w:val="22"/>
        </w:rPr>
        <w:t>Se entiende por residente y no residente lo establecido en el artículo 2° del Decreto 1735 de 1993. La calidad de residente y no residente se presumirá de quienes actúen como inversionistas internacionales en los formularios de registro.</w:t>
      </w:r>
    </w:p>
    <w:p w:rsidR="00AA5B09" w:rsidRPr="00AA5B09" w:rsidRDefault="00AA5B09" w:rsidP="00AA5B09">
      <w:pPr>
        <w:pStyle w:val="default"/>
        <w:spacing w:after="0"/>
        <w:jc w:val="both"/>
        <w:rPr>
          <w:sz w:val="18"/>
          <w:szCs w:val="18"/>
        </w:rPr>
      </w:pPr>
      <w:r w:rsidRPr="00AA5B09">
        <w:rPr>
          <w:sz w:val="22"/>
          <w:szCs w:val="22"/>
        </w:rPr>
        <w:t> </w:t>
      </w:r>
    </w:p>
    <w:p w:rsidR="00AA5B09" w:rsidRPr="00AA5B09" w:rsidRDefault="00AA5B09" w:rsidP="00AA5B09">
      <w:pPr>
        <w:pStyle w:val="default"/>
        <w:spacing w:after="0"/>
        <w:jc w:val="both"/>
        <w:rPr>
          <w:sz w:val="18"/>
          <w:szCs w:val="18"/>
        </w:rPr>
      </w:pPr>
      <w:r w:rsidRPr="00AA5B09">
        <w:rPr>
          <w:sz w:val="22"/>
          <w:szCs w:val="22"/>
        </w:rPr>
        <w:t xml:space="preserve">Para la canalización de las divisas a través del mercado cambiario, deberá diligenciarse </w:t>
      </w:r>
      <w:r w:rsidRPr="00AA5B09">
        <w:rPr>
          <w:b/>
          <w:bCs/>
          <w:sz w:val="22"/>
          <w:szCs w:val="22"/>
        </w:rPr>
        <w:t xml:space="preserve">la declaración de cambio </w:t>
      </w:r>
      <w:r w:rsidRPr="00AA5B09">
        <w:rPr>
          <w:sz w:val="22"/>
          <w:szCs w:val="22"/>
        </w:rPr>
        <w:t xml:space="preserve">por inversiones internacionales (formulario </w:t>
      </w:r>
      <w:r w:rsidRPr="00AA5B09">
        <w:rPr>
          <w:rStyle w:val="spelle"/>
          <w:sz w:val="22"/>
          <w:szCs w:val="22"/>
        </w:rPr>
        <w:t>N°</w:t>
      </w:r>
      <w:r w:rsidRPr="00AA5B09">
        <w:rPr>
          <w:sz w:val="22"/>
          <w:szCs w:val="22"/>
        </w:rPr>
        <w:t xml:space="preserve"> 4). La declaración de cambio deberá presentarse personalmente por el inversionista, apoderado o quien represente sus intereses ante los intermediarios del mercado cambiario o transmitirse, vía electrónica, al Departamento de Cambios Internacionales del Banco de la República en el caso de canalización a través de cuentas corrientes de compensación.</w:t>
      </w:r>
    </w:p>
    <w:p w:rsidR="00AA5B09" w:rsidRPr="00AA5B09" w:rsidRDefault="00AA5B09" w:rsidP="00AA5B09">
      <w:pPr>
        <w:pStyle w:val="default"/>
        <w:spacing w:after="0"/>
        <w:jc w:val="both"/>
        <w:rPr>
          <w:sz w:val="18"/>
          <w:szCs w:val="18"/>
        </w:rPr>
      </w:pPr>
      <w:r w:rsidRPr="00AA5B09">
        <w:rPr>
          <w:sz w:val="22"/>
          <w:szCs w:val="22"/>
        </w:rPr>
        <w:t> </w:t>
      </w:r>
    </w:p>
    <w:p w:rsidR="00AA5B09" w:rsidRPr="00AA5B09" w:rsidRDefault="00AA5B09" w:rsidP="00AA5B09">
      <w:pPr>
        <w:pStyle w:val="default"/>
        <w:spacing w:after="0"/>
        <w:jc w:val="both"/>
        <w:rPr>
          <w:sz w:val="18"/>
          <w:szCs w:val="18"/>
        </w:rPr>
      </w:pPr>
      <w:r w:rsidRPr="00AA5B09">
        <w:rPr>
          <w:sz w:val="22"/>
          <w:szCs w:val="22"/>
        </w:rPr>
        <w:t>Se presumirá que quien suscriba los formularios de inversiones internacionales como apoderado de los inversionistas internaciones o como representante de sus intereses, está facultado para actuar como tal.” (La negrilla no es del texto).</w:t>
      </w:r>
    </w:p>
    <w:p w:rsidR="00AA5B09" w:rsidRPr="00AA5B09" w:rsidRDefault="00AA5B09" w:rsidP="00AA5B09">
      <w:pPr>
        <w:pStyle w:val="default"/>
        <w:spacing w:after="0"/>
        <w:jc w:val="both"/>
        <w:rPr>
          <w:sz w:val="18"/>
          <w:szCs w:val="18"/>
        </w:rPr>
      </w:pPr>
      <w:r w:rsidRPr="00AA5B09">
        <w:rPr>
          <w:sz w:val="22"/>
          <w:szCs w:val="22"/>
        </w:rPr>
        <w:t> </w:t>
      </w:r>
    </w:p>
    <w:p w:rsidR="00AA5B09" w:rsidRPr="00AA5B09" w:rsidRDefault="00AA5B09" w:rsidP="00AA5B09">
      <w:pPr>
        <w:pStyle w:val="default"/>
        <w:spacing w:after="0"/>
        <w:jc w:val="both"/>
        <w:rPr>
          <w:sz w:val="18"/>
          <w:szCs w:val="18"/>
        </w:rPr>
      </w:pPr>
      <w:r w:rsidRPr="00AA5B09">
        <w:rPr>
          <w:b/>
          <w:bCs/>
          <w:sz w:val="22"/>
          <w:szCs w:val="22"/>
        </w:rPr>
        <w:t>Declaración de Cambio.</w:t>
      </w:r>
    </w:p>
    <w:p w:rsidR="00AA5B09" w:rsidRPr="00AA5B09" w:rsidRDefault="00AA5B09" w:rsidP="00AA5B09">
      <w:pPr>
        <w:pStyle w:val="default"/>
        <w:spacing w:after="0"/>
        <w:jc w:val="both"/>
        <w:rPr>
          <w:sz w:val="18"/>
          <w:szCs w:val="18"/>
        </w:rPr>
      </w:pPr>
      <w:r w:rsidRPr="00AA5B09">
        <w:rPr>
          <w:sz w:val="22"/>
          <w:szCs w:val="22"/>
        </w:rPr>
        <w:t> </w:t>
      </w:r>
    </w:p>
    <w:p w:rsidR="00AA5B09" w:rsidRPr="00AA5B09" w:rsidRDefault="00AA5B09" w:rsidP="00AA5B09">
      <w:pPr>
        <w:pStyle w:val="default"/>
        <w:spacing w:after="0"/>
        <w:jc w:val="both"/>
        <w:rPr>
          <w:sz w:val="18"/>
          <w:szCs w:val="18"/>
        </w:rPr>
      </w:pPr>
      <w:r w:rsidRPr="00AA5B09">
        <w:rPr>
          <w:sz w:val="22"/>
          <w:szCs w:val="22"/>
        </w:rPr>
        <w:t xml:space="preserve">De acuerdo con lo dispuesto por la Circular DCIN 83 del 23 de noviembre de 2003, modificada el 16 de diciembre de 2004, el diligenciamiento de la declaración de cambio debe realizarse en documento físico utilizando los formularios previstos en la presente circular, en el documento que contenga la misma información de dichos formularios, en la página </w:t>
      </w:r>
      <w:r w:rsidRPr="00AA5B09">
        <w:rPr>
          <w:rStyle w:val="spelle"/>
          <w:sz w:val="22"/>
          <w:szCs w:val="22"/>
        </w:rPr>
        <w:t>web</w:t>
      </w:r>
      <w:r w:rsidRPr="00AA5B09">
        <w:rPr>
          <w:sz w:val="22"/>
          <w:szCs w:val="22"/>
        </w:rPr>
        <w:t xml:space="preserve">: </w:t>
      </w:r>
      <w:hyperlink r:id="rId5" w:history="1">
        <w:r w:rsidRPr="00AA5B09">
          <w:rPr>
            <w:rStyle w:val="Hipervnculo"/>
            <w:color w:val="auto"/>
            <w:sz w:val="22"/>
            <w:szCs w:val="22"/>
          </w:rPr>
          <w:t>www.banrep.gov.co</w:t>
        </w:r>
      </w:hyperlink>
      <w:r w:rsidRPr="00AA5B09">
        <w:rPr>
          <w:rStyle w:val="spelle"/>
          <w:sz w:val="22"/>
          <w:szCs w:val="22"/>
        </w:rPr>
        <w:t xml:space="preserve"> </w:t>
      </w:r>
      <w:r w:rsidRPr="00AA5B09">
        <w:rPr>
          <w:sz w:val="22"/>
          <w:szCs w:val="22"/>
        </w:rPr>
        <w:t>opción de servicios electrónicos de cambios internacionales “formularios” o en las páginas disponibles de los intermediarios del mercando cambiario.</w:t>
      </w:r>
    </w:p>
    <w:p w:rsidR="00AA5B09" w:rsidRPr="00AA5B09" w:rsidRDefault="00AA5B09" w:rsidP="00AA5B09">
      <w:pPr>
        <w:pStyle w:val="default"/>
        <w:spacing w:after="0"/>
        <w:jc w:val="both"/>
        <w:rPr>
          <w:sz w:val="18"/>
          <w:szCs w:val="18"/>
        </w:rPr>
      </w:pPr>
      <w:r w:rsidRPr="00AA5B09">
        <w:rPr>
          <w:sz w:val="22"/>
          <w:szCs w:val="22"/>
        </w:rPr>
        <w:t> </w:t>
      </w:r>
    </w:p>
    <w:p w:rsidR="00AA5B09" w:rsidRPr="00AA5B09" w:rsidRDefault="00AA5B09" w:rsidP="00AA5B09">
      <w:pPr>
        <w:pStyle w:val="default"/>
        <w:spacing w:after="0"/>
        <w:jc w:val="both"/>
        <w:rPr>
          <w:sz w:val="18"/>
          <w:szCs w:val="18"/>
        </w:rPr>
      </w:pPr>
      <w:r w:rsidRPr="00AA5B09">
        <w:rPr>
          <w:sz w:val="22"/>
          <w:szCs w:val="22"/>
        </w:rPr>
        <w:lastRenderedPageBreak/>
        <w:t xml:space="preserve">Dentro de la lista de formularios están la Declaración de cambio de inversiones internacionales (formulario </w:t>
      </w:r>
      <w:r w:rsidRPr="00AA5B09">
        <w:rPr>
          <w:rStyle w:val="spelle"/>
          <w:sz w:val="22"/>
          <w:szCs w:val="22"/>
        </w:rPr>
        <w:t>N°</w:t>
      </w:r>
      <w:r w:rsidRPr="00AA5B09">
        <w:rPr>
          <w:sz w:val="22"/>
          <w:szCs w:val="22"/>
        </w:rPr>
        <w:t xml:space="preserve"> 4), la Declaración de cambio por servicios, transferencias y otros conceptos (formulario </w:t>
      </w:r>
      <w:r w:rsidRPr="00AA5B09">
        <w:rPr>
          <w:rStyle w:val="spelle"/>
          <w:sz w:val="22"/>
          <w:szCs w:val="22"/>
        </w:rPr>
        <w:t>N°</w:t>
      </w:r>
      <w:r w:rsidRPr="00AA5B09">
        <w:rPr>
          <w:sz w:val="22"/>
          <w:szCs w:val="22"/>
        </w:rPr>
        <w:t xml:space="preserve"> 5).</w:t>
      </w:r>
    </w:p>
    <w:p w:rsidR="00AA5B09" w:rsidRPr="00AA5B09" w:rsidRDefault="00AA5B09" w:rsidP="00AA5B09">
      <w:pPr>
        <w:pStyle w:val="default"/>
        <w:spacing w:after="0"/>
        <w:jc w:val="both"/>
        <w:rPr>
          <w:sz w:val="18"/>
          <w:szCs w:val="18"/>
        </w:rPr>
      </w:pPr>
      <w:r w:rsidRPr="00AA5B09">
        <w:rPr>
          <w:sz w:val="22"/>
          <w:szCs w:val="22"/>
        </w:rPr>
        <w:t> </w:t>
      </w:r>
    </w:p>
    <w:p w:rsidR="00AA5B09" w:rsidRPr="00AA5B09" w:rsidRDefault="00AA5B09" w:rsidP="00AA5B09">
      <w:pPr>
        <w:pStyle w:val="default"/>
        <w:spacing w:after="0"/>
        <w:jc w:val="both"/>
        <w:rPr>
          <w:sz w:val="18"/>
          <w:szCs w:val="18"/>
        </w:rPr>
      </w:pPr>
      <w:r w:rsidRPr="00AA5B09">
        <w:rPr>
          <w:sz w:val="22"/>
          <w:szCs w:val="22"/>
        </w:rPr>
        <w:t>A su vez, la referida circular expresa que las declaraciones de cambio podrán ser objeto de correcciones mediante el diligenciamiento de una nueva declaración de cambio que entregará a la misma entidad a la cual se presentó la declaración inicial. Agrega que la corrección a una declaración deber ser efectuada dentro de los quince (15) días hábiles siguientes a la fecha de la presentación de la declaración inicial y ante el mismo intermediario del mercado cambiario al cual se hizo entrega de la declaración correspondiente. La declaración que no se corrija dentro de este período se entenderá definitiva. (Punto 1.6).</w:t>
      </w:r>
    </w:p>
    <w:p w:rsidR="00AA5B09" w:rsidRPr="00AA5B09" w:rsidRDefault="00AA5B09" w:rsidP="00AA5B09">
      <w:pPr>
        <w:pStyle w:val="default"/>
        <w:spacing w:after="0"/>
        <w:jc w:val="both"/>
        <w:rPr>
          <w:sz w:val="18"/>
          <w:szCs w:val="18"/>
        </w:rPr>
      </w:pPr>
      <w:r w:rsidRPr="00AA5B09">
        <w:rPr>
          <w:sz w:val="22"/>
          <w:szCs w:val="22"/>
        </w:rPr>
        <w:t> </w:t>
      </w:r>
    </w:p>
    <w:p w:rsidR="00AA5B09" w:rsidRPr="00AA5B09" w:rsidRDefault="00AA5B09" w:rsidP="00AA5B09">
      <w:pPr>
        <w:pStyle w:val="default"/>
        <w:spacing w:after="0"/>
        <w:jc w:val="both"/>
        <w:rPr>
          <w:sz w:val="18"/>
          <w:szCs w:val="18"/>
        </w:rPr>
      </w:pPr>
      <w:r w:rsidRPr="00AA5B09">
        <w:rPr>
          <w:sz w:val="22"/>
          <w:szCs w:val="22"/>
        </w:rPr>
        <w:t>Las modificaciones incluyen el cambio del formulario; sin embargo, de acuerdo con el punto 1.7 “no se pueden efectuar aclaraciones para fines estadísticos cuando impliquen cambio de formulario. Solamente podrá cambiarse el tipo de formulario dentro de los quince (15) días hábiles siguientes a la presentación de la declaración de cambio inicial conforme al punto 1.6 de esta circular.”</w:t>
      </w:r>
    </w:p>
    <w:p w:rsidR="00AA5B09" w:rsidRPr="00AA5B09" w:rsidRDefault="00AA5B09" w:rsidP="00AA5B09">
      <w:pPr>
        <w:pStyle w:val="default"/>
        <w:spacing w:after="0"/>
        <w:jc w:val="both"/>
        <w:rPr>
          <w:sz w:val="18"/>
          <w:szCs w:val="18"/>
        </w:rPr>
      </w:pPr>
      <w:r w:rsidRPr="00AA5B09">
        <w:rPr>
          <w:sz w:val="22"/>
          <w:szCs w:val="22"/>
        </w:rPr>
        <w:t> </w:t>
      </w:r>
    </w:p>
    <w:p w:rsidR="00AA5B09" w:rsidRPr="00AA5B09" w:rsidRDefault="00AA5B09" w:rsidP="00AA5B09">
      <w:pPr>
        <w:pStyle w:val="default"/>
        <w:spacing w:after="0"/>
        <w:jc w:val="both"/>
        <w:rPr>
          <w:sz w:val="18"/>
          <w:szCs w:val="18"/>
        </w:rPr>
      </w:pPr>
      <w:r w:rsidRPr="00AA5B09">
        <w:rPr>
          <w:sz w:val="22"/>
          <w:szCs w:val="22"/>
        </w:rPr>
        <w:t>Por su parte, la referida circular externa DCIN 83, punto 7.1., numeral 2°, establece el procedimiento para el registro así: “El registro de la inversiones internacionales tendrá los siguientes procedimientos, según la clase de inversión y las modalidades de aportes previstas en el decreto 2080 de 2000 y sus modificaciones:</w:t>
      </w:r>
    </w:p>
    <w:p w:rsidR="00AA5B09" w:rsidRPr="00AA5B09" w:rsidRDefault="00AA5B09" w:rsidP="00AA5B09">
      <w:pPr>
        <w:pStyle w:val="default"/>
        <w:spacing w:after="0"/>
        <w:ind w:left="284"/>
        <w:jc w:val="both"/>
        <w:rPr>
          <w:sz w:val="18"/>
          <w:szCs w:val="18"/>
        </w:rPr>
      </w:pPr>
      <w:r w:rsidRPr="00AA5B09">
        <w:rPr>
          <w:sz w:val="22"/>
          <w:szCs w:val="22"/>
        </w:rPr>
        <w:t> </w:t>
      </w:r>
    </w:p>
    <w:p w:rsidR="00AA5B09" w:rsidRPr="00AA5B09" w:rsidRDefault="00AA5B09" w:rsidP="00AA5B09">
      <w:pPr>
        <w:pStyle w:val="default"/>
        <w:spacing w:after="0"/>
        <w:ind w:left="284"/>
        <w:jc w:val="both"/>
        <w:rPr>
          <w:sz w:val="18"/>
          <w:szCs w:val="18"/>
        </w:rPr>
      </w:pPr>
      <w:r w:rsidRPr="00AA5B09">
        <w:rPr>
          <w:sz w:val="22"/>
          <w:szCs w:val="22"/>
        </w:rPr>
        <w:t xml:space="preserve">a) Registro automático con la presentación de la declaración de cambio por inversiones internacionales (formulario </w:t>
      </w:r>
      <w:r w:rsidRPr="00AA5B09">
        <w:rPr>
          <w:rStyle w:val="spelle"/>
          <w:sz w:val="22"/>
          <w:szCs w:val="22"/>
        </w:rPr>
        <w:t>N°</w:t>
      </w:r>
      <w:r w:rsidRPr="00AA5B09">
        <w:rPr>
          <w:sz w:val="22"/>
          <w:szCs w:val="22"/>
        </w:rPr>
        <w:t xml:space="preserve"> 4)….</w:t>
      </w:r>
    </w:p>
    <w:p w:rsidR="00AA5B09" w:rsidRPr="00AA5B09" w:rsidRDefault="00AA5B09" w:rsidP="00AA5B09">
      <w:pPr>
        <w:pStyle w:val="default"/>
        <w:spacing w:after="0"/>
        <w:ind w:left="284"/>
        <w:jc w:val="both"/>
        <w:rPr>
          <w:sz w:val="18"/>
          <w:szCs w:val="18"/>
        </w:rPr>
      </w:pPr>
      <w:r w:rsidRPr="00AA5B09">
        <w:rPr>
          <w:sz w:val="22"/>
          <w:szCs w:val="22"/>
        </w:rPr>
        <w:t xml:space="preserve">b) Registro automático con la presentación de la solicitud en debida forma </w:t>
      </w:r>
      <w:r w:rsidRPr="00AA5B09">
        <w:rPr>
          <w:rStyle w:val="grame"/>
          <w:sz w:val="22"/>
          <w:szCs w:val="22"/>
        </w:rPr>
        <w:t>(Formulario</w:t>
      </w:r>
      <w:r w:rsidRPr="00AA5B09">
        <w:rPr>
          <w:sz w:val="22"/>
          <w:szCs w:val="22"/>
        </w:rPr>
        <w:t xml:space="preserve"> </w:t>
      </w:r>
      <w:r w:rsidRPr="00AA5B09">
        <w:rPr>
          <w:rStyle w:val="spelle"/>
          <w:sz w:val="22"/>
          <w:szCs w:val="22"/>
        </w:rPr>
        <w:t>N°</w:t>
      </w:r>
      <w:r w:rsidRPr="00AA5B09">
        <w:rPr>
          <w:sz w:val="22"/>
          <w:szCs w:val="22"/>
        </w:rPr>
        <w:t xml:space="preserve"> 1- Archivo Plano). ….</w:t>
      </w:r>
    </w:p>
    <w:p w:rsidR="00AA5B09" w:rsidRPr="00AA5B09" w:rsidRDefault="00AA5B09" w:rsidP="00AA5B09">
      <w:pPr>
        <w:pStyle w:val="default"/>
        <w:spacing w:after="0"/>
        <w:ind w:left="284"/>
        <w:jc w:val="both"/>
        <w:rPr>
          <w:sz w:val="18"/>
          <w:szCs w:val="18"/>
        </w:rPr>
      </w:pPr>
      <w:r w:rsidRPr="00AA5B09">
        <w:rPr>
          <w:sz w:val="22"/>
          <w:szCs w:val="22"/>
        </w:rPr>
        <w:t>c) Registro con demostración del cumplimiento de los requisitos de inversión (Formularios Nos 11-13).</w:t>
      </w:r>
    </w:p>
    <w:p w:rsidR="00AA5B09" w:rsidRPr="00AA5B09" w:rsidRDefault="00AA5B09" w:rsidP="00AA5B09">
      <w:pPr>
        <w:pStyle w:val="default"/>
        <w:spacing w:after="0"/>
        <w:jc w:val="both"/>
        <w:rPr>
          <w:sz w:val="18"/>
          <w:szCs w:val="18"/>
        </w:rPr>
      </w:pPr>
      <w:r w:rsidRPr="00AA5B09">
        <w:rPr>
          <w:sz w:val="22"/>
          <w:szCs w:val="22"/>
        </w:rPr>
        <w:t> </w:t>
      </w:r>
    </w:p>
    <w:p w:rsidR="00AA5B09" w:rsidRPr="00AA5B09" w:rsidRDefault="00AA5B09" w:rsidP="00AA5B09">
      <w:pPr>
        <w:pStyle w:val="default"/>
        <w:spacing w:after="0"/>
        <w:jc w:val="both"/>
        <w:rPr>
          <w:sz w:val="18"/>
          <w:szCs w:val="18"/>
        </w:rPr>
      </w:pPr>
      <w:r w:rsidRPr="00AA5B09">
        <w:rPr>
          <w:sz w:val="22"/>
          <w:szCs w:val="22"/>
        </w:rPr>
        <w:t>Efectuadas las consideraciones normativas que anteceden, conviene precisar que el registro de la inversión, tiene como contraprestación para el inversionista, el derecho a reexportar el capital invertido así como las utilidades derivadas de la inversión.</w:t>
      </w:r>
    </w:p>
    <w:p w:rsidR="00AA5B09" w:rsidRPr="00AA5B09" w:rsidRDefault="00AA5B09" w:rsidP="00AA5B09">
      <w:pPr>
        <w:pStyle w:val="default"/>
        <w:spacing w:after="0"/>
        <w:jc w:val="both"/>
        <w:rPr>
          <w:sz w:val="18"/>
          <w:szCs w:val="18"/>
        </w:rPr>
      </w:pPr>
      <w:r w:rsidRPr="00AA5B09">
        <w:rPr>
          <w:sz w:val="22"/>
          <w:szCs w:val="22"/>
        </w:rPr>
        <w:t> </w:t>
      </w:r>
    </w:p>
    <w:p w:rsidR="00AA5B09" w:rsidRPr="00AA5B09" w:rsidRDefault="00AA5B09" w:rsidP="00AA5B09">
      <w:pPr>
        <w:pStyle w:val="default"/>
        <w:spacing w:after="0"/>
        <w:jc w:val="both"/>
        <w:rPr>
          <w:sz w:val="18"/>
          <w:szCs w:val="18"/>
        </w:rPr>
      </w:pPr>
      <w:r w:rsidRPr="00AA5B09">
        <w:rPr>
          <w:sz w:val="22"/>
          <w:szCs w:val="22"/>
        </w:rPr>
        <w:t>En tal virtud, si de acuerdo con el planteamiento efectuado el inversionista extranjero no canalizó por conducto de un intermediario cambiario mediante el formulario número 4 como inversión extranjera, las divisas ingresadas al país para invertir en acciones de una sociedad en Colombia, mal puede reexportar el capital o girar utilidades al exterior por los canales cambiarios propios de la operación de inversión extranjera.</w:t>
      </w:r>
    </w:p>
    <w:p w:rsidR="00AA5B09" w:rsidRPr="00AA5B09" w:rsidRDefault="00AA5B09" w:rsidP="00AA5B09">
      <w:pPr>
        <w:pStyle w:val="default"/>
        <w:spacing w:after="0"/>
        <w:jc w:val="both"/>
        <w:rPr>
          <w:sz w:val="18"/>
          <w:szCs w:val="18"/>
        </w:rPr>
      </w:pPr>
      <w:r w:rsidRPr="00AA5B09">
        <w:rPr>
          <w:sz w:val="22"/>
          <w:szCs w:val="22"/>
        </w:rPr>
        <w:t> </w:t>
      </w:r>
    </w:p>
    <w:p w:rsidR="00AA5B09" w:rsidRPr="00AA5B09" w:rsidRDefault="00AA5B09" w:rsidP="00AA5B09">
      <w:pPr>
        <w:pStyle w:val="default"/>
        <w:spacing w:after="0"/>
        <w:jc w:val="both"/>
        <w:rPr>
          <w:sz w:val="18"/>
          <w:szCs w:val="18"/>
        </w:rPr>
      </w:pPr>
      <w:r w:rsidRPr="00AA5B09">
        <w:rPr>
          <w:sz w:val="22"/>
          <w:szCs w:val="22"/>
        </w:rPr>
        <w:t>No obstante lo expresado y sin perjuicio de la opción legal de registrar como inversión e por parte de un no residente, operación que está condicionada al cumplimiento del trámite y de los requisitos señalados anteriormente; no existe impedimento legal para que en el mismo supuesto, cuando se hubieren reintegrado las divisas con el formulario número cinco (5), figure como titular el no residente; desde luego sin los beneficios que le otorga el Registro de la Inversión ante el Banco de la República, los que se concretan en el derecho de reexportar el capital y girar las utilidades obtenidas del mismo.</w:t>
      </w:r>
    </w:p>
    <w:p w:rsidR="00AA5B09" w:rsidRPr="00AA5B09" w:rsidRDefault="00AA5B09" w:rsidP="00AA5B09">
      <w:pPr>
        <w:pStyle w:val="default"/>
        <w:spacing w:after="0"/>
        <w:jc w:val="both"/>
        <w:rPr>
          <w:sz w:val="18"/>
          <w:szCs w:val="18"/>
        </w:rPr>
      </w:pPr>
      <w:r w:rsidRPr="00AA5B09">
        <w:rPr>
          <w:sz w:val="22"/>
          <w:szCs w:val="22"/>
        </w:rPr>
        <w:t> </w:t>
      </w:r>
    </w:p>
    <w:p w:rsidR="00AA5B09" w:rsidRPr="00AA5B09" w:rsidRDefault="00AA5B09" w:rsidP="00AA5B09">
      <w:pPr>
        <w:pStyle w:val="default"/>
        <w:spacing w:after="0"/>
        <w:jc w:val="both"/>
        <w:rPr>
          <w:sz w:val="18"/>
          <w:szCs w:val="18"/>
        </w:rPr>
      </w:pPr>
      <w:r w:rsidRPr="00AA5B09">
        <w:rPr>
          <w:sz w:val="22"/>
          <w:szCs w:val="22"/>
        </w:rPr>
        <w:t xml:space="preserve">En todo caso y comoquiera que el registro de las divisas que tengan como finalidad la realización de una inversión extranjera, le corresponde al Banco de la República, le sugiero acudir a esa autoridad con el fin de que en el evento en que </w:t>
      </w:r>
      <w:r w:rsidRPr="00AA5B09">
        <w:rPr>
          <w:rStyle w:val="grame"/>
          <w:sz w:val="22"/>
          <w:szCs w:val="22"/>
        </w:rPr>
        <w:t>lo</w:t>
      </w:r>
      <w:r w:rsidRPr="00AA5B09">
        <w:rPr>
          <w:sz w:val="22"/>
          <w:szCs w:val="22"/>
        </w:rPr>
        <w:t xml:space="preserve"> considere procedente le otorgue el registro extemporáneo, desde luego sin perjuicio de las sanciones administrativas a que haya lugar, de acuerdo con lo </w:t>
      </w:r>
      <w:r w:rsidRPr="00AA5B09">
        <w:rPr>
          <w:sz w:val="22"/>
          <w:szCs w:val="22"/>
        </w:rPr>
        <w:lastRenderedPageBreak/>
        <w:t>dispuesto por el Estatuto de Inversiones Internacionales, en concordancia con el Decreto 1746 de 1991.</w:t>
      </w:r>
    </w:p>
    <w:p w:rsidR="00AA5B09" w:rsidRPr="00AA5B09" w:rsidRDefault="00AA5B09" w:rsidP="00AA5B09">
      <w:pPr>
        <w:pStyle w:val="default"/>
        <w:spacing w:after="0"/>
        <w:jc w:val="both"/>
        <w:rPr>
          <w:sz w:val="18"/>
          <w:szCs w:val="18"/>
        </w:rPr>
      </w:pPr>
      <w:r w:rsidRPr="00AA5B09">
        <w:rPr>
          <w:sz w:val="22"/>
          <w:szCs w:val="22"/>
        </w:rPr>
        <w:t> </w:t>
      </w:r>
    </w:p>
    <w:p w:rsidR="00AA5B09" w:rsidRPr="00AA5B09" w:rsidRDefault="00AA5B09" w:rsidP="00AA5B09">
      <w:pPr>
        <w:pStyle w:val="default"/>
        <w:spacing w:after="0"/>
        <w:jc w:val="both"/>
        <w:rPr>
          <w:sz w:val="18"/>
          <w:szCs w:val="18"/>
        </w:rPr>
      </w:pPr>
      <w:r w:rsidRPr="00AA5B09">
        <w:rPr>
          <w:sz w:val="22"/>
          <w:szCs w:val="22"/>
        </w:rPr>
        <w:t>Finalmente, es preciso observar que las operaciones de inversión extranjera tienen exenciones de carácter tributario, que no cobijan a las operaciones del mercado libre relacionadas en el formulario número 5., tema cuya explicación le sugiero consultar directamente en la Dirección de Impuestos y Aduanas Nacionales. DIAN.</w:t>
      </w:r>
    </w:p>
    <w:p w:rsidR="00AA5B09" w:rsidRPr="00AA5B09" w:rsidRDefault="00AA5B09" w:rsidP="00AA5B09">
      <w:pPr>
        <w:pStyle w:val="default"/>
        <w:spacing w:after="0"/>
        <w:jc w:val="both"/>
        <w:rPr>
          <w:sz w:val="18"/>
          <w:szCs w:val="18"/>
        </w:rPr>
      </w:pPr>
      <w:r w:rsidRPr="00AA5B09">
        <w:rPr>
          <w:sz w:val="22"/>
          <w:szCs w:val="22"/>
        </w:rPr>
        <w:t> </w:t>
      </w:r>
    </w:p>
    <w:p w:rsidR="00AA5B09" w:rsidRPr="00AA5B09" w:rsidRDefault="00AA5B09" w:rsidP="00AA5B09">
      <w:pPr>
        <w:pStyle w:val="default"/>
        <w:spacing w:after="0"/>
        <w:jc w:val="both"/>
        <w:rPr>
          <w:sz w:val="18"/>
          <w:szCs w:val="18"/>
        </w:rPr>
      </w:pPr>
      <w:r w:rsidRPr="00AA5B09">
        <w:rPr>
          <w:sz w:val="22"/>
          <w:szCs w:val="22"/>
        </w:rPr>
        <w:t xml:space="preserve">Para una mayor información sobre el tema propuesto, le sugiero consultar la página </w:t>
      </w:r>
      <w:r w:rsidRPr="00AA5B09">
        <w:rPr>
          <w:rStyle w:val="spelle"/>
          <w:sz w:val="22"/>
          <w:szCs w:val="22"/>
        </w:rPr>
        <w:t>web</w:t>
      </w:r>
      <w:r w:rsidRPr="00AA5B09">
        <w:rPr>
          <w:sz w:val="22"/>
          <w:szCs w:val="22"/>
        </w:rPr>
        <w:t xml:space="preserve"> del Banco de la República, en la siguiente dirección: </w:t>
      </w:r>
      <w:hyperlink r:id="rId6" w:history="1">
        <w:r w:rsidRPr="00AA5B09">
          <w:rPr>
            <w:rStyle w:val="Hipervnculo"/>
            <w:color w:val="auto"/>
            <w:sz w:val="22"/>
            <w:szCs w:val="22"/>
          </w:rPr>
          <w:t>www.banrep.gov.co</w:t>
        </w:r>
      </w:hyperlink>
      <w:r w:rsidRPr="00AA5B09">
        <w:rPr>
          <w:sz w:val="22"/>
          <w:szCs w:val="22"/>
        </w:rPr>
        <w:t>.</w:t>
      </w:r>
    </w:p>
    <w:p w:rsidR="00AA5B09" w:rsidRPr="00AA5B09" w:rsidRDefault="00AA5B09" w:rsidP="00AA5B09">
      <w:pPr>
        <w:pStyle w:val="default"/>
        <w:spacing w:after="0"/>
        <w:jc w:val="both"/>
        <w:rPr>
          <w:sz w:val="18"/>
          <w:szCs w:val="18"/>
        </w:rPr>
      </w:pPr>
      <w:r w:rsidRPr="00AA5B09">
        <w:rPr>
          <w:sz w:val="22"/>
          <w:szCs w:val="22"/>
        </w:rPr>
        <w:t> </w:t>
      </w:r>
    </w:p>
    <w:p w:rsidR="00AA5B09" w:rsidRPr="00AA5B09" w:rsidRDefault="00AA5B09" w:rsidP="00AA5B09">
      <w:pPr>
        <w:pStyle w:val="default"/>
        <w:spacing w:after="0"/>
        <w:jc w:val="both"/>
        <w:rPr>
          <w:sz w:val="18"/>
          <w:szCs w:val="18"/>
        </w:rPr>
      </w:pPr>
      <w:r w:rsidRPr="00AA5B09">
        <w:rPr>
          <w:rStyle w:val="Textoennegrita"/>
          <w:b w:val="0"/>
          <w:sz w:val="22"/>
          <w:szCs w:val="22"/>
        </w:rPr>
        <w:t>En los anteriores términos espero haber atendido sus inquietudes no sin antes advertirle que el presente oficio tiene los efectos del artículo 28 del Código de Procedimiento y de lo Contencioso Administrativo.</w:t>
      </w:r>
    </w:p>
    <w:p w:rsidR="00594C95" w:rsidRPr="00AA5B09" w:rsidRDefault="00AA5B09">
      <w:pPr>
        <w:rPr>
          <w:rFonts w:ascii="Times New Roman" w:hAnsi="Times New Roman" w:cs="Times New Roman"/>
        </w:rPr>
      </w:pPr>
      <w:r w:rsidRPr="00AA5B09">
        <w:rPr>
          <w:rFonts w:ascii="Times New Roman" w:hAnsi="Times New Roman" w:cs="Times New Roman"/>
        </w:rPr>
        <w:t>_____________________________________________________________________________</w:t>
      </w:r>
    </w:p>
    <w:sectPr w:rsidR="00594C95" w:rsidRPr="00AA5B0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B09"/>
    <w:rsid w:val="00594C95"/>
    <w:rsid w:val="00AA5B0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AA5B09"/>
    <w:rPr>
      <w:strike w:val="0"/>
      <w:dstrike w:val="0"/>
      <w:color w:val="0089E1"/>
      <w:u w:val="none"/>
      <w:effect w:val="none"/>
    </w:rPr>
  </w:style>
  <w:style w:type="paragraph" w:customStyle="1" w:styleId="default">
    <w:name w:val="default"/>
    <w:basedOn w:val="Normal"/>
    <w:rsid w:val="00AA5B09"/>
    <w:pPr>
      <w:spacing w:after="285" w:line="240" w:lineRule="auto"/>
    </w:pPr>
    <w:rPr>
      <w:rFonts w:ascii="Times New Roman" w:eastAsia="Times New Roman" w:hAnsi="Times New Roman" w:cs="Times New Roman"/>
      <w:sz w:val="24"/>
      <w:szCs w:val="24"/>
      <w:lang w:eastAsia="es-CO"/>
    </w:rPr>
  </w:style>
  <w:style w:type="character" w:customStyle="1" w:styleId="grame">
    <w:name w:val="grame"/>
    <w:basedOn w:val="Fuentedeprrafopredeter"/>
    <w:rsid w:val="00AA5B09"/>
  </w:style>
  <w:style w:type="character" w:customStyle="1" w:styleId="spelle">
    <w:name w:val="spelle"/>
    <w:basedOn w:val="Fuentedeprrafopredeter"/>
    <w:rsid w:val="00AA5B09"/>
  </w:style>
  <w:style w:type="character" w:styleId="Textoennegrita">
    <w:name w:val="Strong"/>
    <w:basedOn w:val="Fuentedeprrafopredeter"/>
    <w:uiPriority w:val="22"/>
    <w:qFormat/>
    <w:rsid w:val="00AA5B0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AA5B09"/>
    <w:rPr>
      <w:strike w:val="0"/>
      <w:dstrike w:val="0"/>
      <w:color w:val="0089E1"/>
      <w:u w:val="none"/>
      <w:effect w:val="none"/>
    </w:rPr>
  </w:style>
  <w:style w:type="paragraph" w:customStyle="1" w:styleId="default">
    <w:name w:val="default"/>
    <w:basedOn w:val="Normal"/>
    <w:rsid w:val="00AA5B09"/>
    <w:pPr>
      <w:spacing w:after="285" w:line="240" w:lineRule="auto"/>
    </w:pPr>
    <w:rPr>
      <w:rFonts w:ascii="Times New Roman" w:eastAsia="Times New Roman" w:hAnsi="Times New Roman" w:cs="Times New Roman"/>
      <w:sz w:val="24"/>
      <w:szCs w:val="24"/>
      <w:lang w:eastAsia="es-CO"/>
    </w:rPr>
  </w:style>
  <w:style w:type="character" w:customStyle="1" w:styleId="grame">
    <w:name w:val="grame"/>
    <w:basedOn w:val="Fuentedeprrafopredeter"/>
    <w:rsid w:val="00AA5B09"/>
  </w:style>
  <w:style w:type="character" w:customStyle="1" w:styleId="spelle">
    <w:name w:val="spelle"/>
    <w:basedOn w:val="Fuentedeprrafopredeter"/>
    <w:rsid w:val="00AA5B09"/>
  </w:style>
  <w:style w:type="character" w:styleId="Textoennegrita">
    <w:name w:val="Strong"/>
    <w:basedOn w:val="Fuentedeprrafopredeter"/>
    <w:uiPriority w:val="22"/>
    <w:qFormat/>
    <w:rsid w:val="00AA5B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banrep.gov.co" TargetMode="External"/><Relationship Id="rId5" Type="http://schemas.openxmlformats.org/officeDocument/2006/relationships/hyperlink" Target="http://www.banrep.gov.co"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1716</Words>
  <Characters>9439</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CENTRO NACIONAL DE ESTUDIOS TRIBUTARIOS DE COLOMBIA</dc:creator>
  <cp:lastModifiedBy>CENTRO NACIONAL DE ESTUDIOS TRIBUTARIOS DE COLOMBIA </cp:lastModifiedBy>
  <cp:revision>1</cp:revision>
  <dcterms:created xsi:type="dcterms:W3CDTF">2013-02-13T23:49:00Z</dcterms:created>
  <dcterms:modified xsi:type="dcterms:W3CDTF">2013-02-13T23:52:00Z</dcterms:modified>
</cp:coreProperties>
</file>