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6F1C" w14:textId="6ECE0E1B" w:rsidR="007F5CC8" w:rsidRDefault="007F5CC8"/>
    <w:p w14:paraId="1ADB5796" w14:textId="77777777" w:rsidR="00A366F4" w:rsidRDefault="00A366F4" w:rsidP="00A366F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220-014167</w:t>
      </w:r>
    </w:p>
    <w:p w14:paraId="6BBBE2AA" w14:textId="77777777" w:rsidR="00A366F4" w:rsidRDefault="00A366F4" w:rsidP="00A366F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23-01-2023</w:t>
      </w:r>
    </w:p>
    <w:p w14:paraId="21F39769" w14:textId="77777777" w:rsidR="00A366F4" w:rsidRDefault="00A366F4" w:rsidP="00A366F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1904502B"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843DDD"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46229F"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PRIMA EN EMISIÓN DE ACCIONES</w:t>
      </w:r>
    </w:p>
    <w:p w14:paraId="16AB17B7"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B974D0"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recibió en esta entidad consulta radicada bajo el número de la referencia, por medio de la cual se plantea lo siguiente:</w:t>
      </w:r>
    </w:p>
    <w:p w14:paraId="31C32548"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7A0D34"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“¿Para dar cumplimiento al Artículo 396 del código de comercio (utilización de fondos tomados de las utilidades liquidas de la sociedad), la sociedad puede constituir una reserva especial para la readquisición de acciones con el valor total o parcial que figura en la partida del patrimonio como prima en emisión de acciones?”</w:t>
      </w:r>
    </w:p>
    <w:p w14:paraId="335959C2"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D54777"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Previamente a atender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sobre las materias a su cargo, y sus respuestas a las consultas no son vinculantes ni comprometen la responsabilidad de la Entidad.</w:t>
      </w:r>
    </w:p>
    <w:p w14:paraId="6223477E"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7A8D81"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dar respuesta a su inquietud, se trae a colación el Oficio 220-234568 de 2022 en el cual se hace referencia a los aspectos básicos de la readquisición de acciones, en los siguientes términos:</w:t>
      </w:r>
    </w:p>
    <w:p w14:paraId="3E937ACF"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DB353C"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06961711"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6FF999A"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 no existe ninguna posibilidad de asimilar los conceptos de enajenación de acciones contenido en los artículos 403 y siguientes del Código de Comercio y el de suscripción de acciones contenido en el artículo 384 del mismo Estatuto, como se plantea en la consulta formulada.</w:t>
      </w:r>
    </w:p>
    <w:p w14:paraId="56B48C26"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717A86"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Las acciones propias readquiridas por la </w:t>
      </w:r>
      <w:proofErr w:type="gramStart"/>
      <w:r>
        <w:rPr>
          <w:rFonts w:ascii="Segoe UI" w:hAnsi="Segoe UI" w:cs="Segoe UI"/>
          <w:color w:val="000000"/>
          <w:sz w:val="21"/>
          <w:szCs w:val="21"/>
        </w:rPr>
        <w:t>sociedad,</w:t>
      </w:r>
      <w:proofErr w:type="gramEnd"/>
      <w:r>
        <w:rPr>
          <w:rFonts w:ascii="Segoe UI" w:hAnsi="Segoe UI" w:cs="Segoe UI"/>
          <w:color w:val="000000"/>
          <w:sz w:val="21"/>
          <w:szCs w:val="21"/>
        </w:rPr>
        <w:t xml:space="preserve"> se denominan técnicamente en las cuentas de la compañía, acciones propias en cartera, cuyo procedimiento de enajenación se encuentra reglado por el artículo 396, inciso final del Estatuto Mercantil, según el cual: “(...) La enajenación de las acciones readquiridas se hará en la forma indicada para la colocación de acciones en reserva.”</w:t>
      </w:r>
    </w:p>
    <w:p w14:paraId="07765607"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CEFADF"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caso, aun cuando la sociedad es la titular de las acciones propias readquiridas, no tiene la posibilidad de enajenarlas libremente en los términos del artículo 403 ibidem, como sí lo puede hacer la persona natural o jurídica, titular de las acciones quien las adquirió como suscriptor o como consecuencia de un contrato de compraventa libremente celebrado.</w:t>
      </w:r>
    </w:p>
    <w:p w14:paraId="5C7B1CEB"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15063"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Sin embargo, la colocación de las acciones </w:t>
      </w:r>
      <w:proofErr w:type="gramStart"/>
      <w:r>
        <w:rPr>
          <w:rFonts w:ascii="Segoe UI" w:hAnsi="Segoe UI" w:cs="Segoe UI"/>
          <w:color w:val="000000"/>
          <w:sz w:val="21"/>
          <w:szCs w:val="21"/>
        </w:rPr>
        <w:t>readquiridas,</w:t>
      </w:r>
      <w:proofErr w:type="gramEnd"/>
      <w:r>
        <w:rPr>
          <w:rFonts w:ascii="Segoe UI" w:hAnsi="Segoe UI" w:cs="Segoe UI"/>
          <w:color w:val="000000"/>
          <w:sz w:val="21"/>
          <w:szCs w:val="21"/>
        </w:rPr>
        <w:t xml:space="preserve"> no supone una nueva emisión, ni modificaciones al capital social, ni una operación de patrimonio, puesto que las acciones readquiridas ya habían sido objeto de emisión y colocación. (...)”.”</w:t>
      </w:r>
      <w:hyperlink r:id="rId5" w:anchor="cite_note-1" w:history="1">
        <w:r>
          <w:rPr>
            <w:rStyle w:val="Hipervnculo"/>
            <w:rFonts w:ascii="Segoe UI" w:hAnsi="Segoe UI" w:cs="Segoe UI"/>
            <w:color w:val="0645AD"/>
            <w:sz w:val="21"/>
            <w:szCs w:val="21"/>
            <w:vertAlign w:val="superscript"/>
          </w:rPr>
          <w:t>1</w:t>
        </w:r>
      </w:hyperlink>
    </w:p>
    <w:p w14:paraId="0545F12F"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425E6E"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respecto de la prima de emisión de acciones, esta Oficina se pronunció en el Oficio 220-103001 de 2021, en los siguientes términos:</w:t>
      </w:r>
    </w:p>
    <w:p w14:paraId="782D914D"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2C3408"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consecuencia, </w:t>
      </w:r>
      <w:r>
        <w:rPr>
          <w:rFonts w:ascii="Segoe UI" w:hAnsi="Segoe UI" w:cs="Segoe UI"/>
          <w:color w:val="000000"/>
          <w:sz w:val="21"/>
          <w:szCs w:val="21"/>
          <w:u w:val="single"/>
        </w:rPr>
        <w:t>con fundamento en los artículos 384 y 386 del Código de Comercio, para efectos societarios, la prima en colocación de acciones hace parte del aporte entregado por el socio o accionista a la compañía. Dicho aporte, se compone de dos partidas patrimoniales: (A) el capital social, que es la sumatoria de las alícuotas a valor nominal y (B) la prima en colocación de acciones que refleja el mayor valor sobre el nominal después de haber sido constituida la sociedad</w:t>
      </w:r>
      <w:r>
        <w:rPr>
          <w:rFonts w:ascii="Segoe UI" w:hAnsi="Segoe UI" w:cs="Segoe UI"/>
          <w:color w:val="000000"/>
          <w:sz w:val="21"/>
          <w:szCs w:val="21"/>
        </w:rPr>
        <w:t>.</w:t>
      </w:r>
    </w:p>
    <w:p w14:paraId="45D4D087"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05098AC"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 acuerdo con lo anterior, la prima en colocación es un aporte cuyo reembolso debe seguirlas reglas de la disminución del capital (artículo 145 del Código de Comercio).</w:t>
      </w:r>
    </w:p>
    <w:p w14:paraId="7EFDB8DA"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A97024"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El reembolso de la prima en colocación afectará a todos los asociados en proporción a la participación en el capital social, salvo pacto estatutario en contrario o decisión unánime que resuelva cosa distinta (artículo 144 del Código de Comercio). (...)”</w:t>
      </w:r>
    </w:p>
    <w:p w14:paraId="0D3FF31E"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95E77CC"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(Subrayado nuestro)</w:t>
      </w:r>
    </w:p>
    <w:p w14:paraId="6826CC43"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77098C"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Igualmente, mediante Oficio 220-242929 de 2022, este Despacho también señaló lo siguiente respecto de la prima de emisión de acciones:</w:t>
      </w:r>
    </w:p>
    <w:p w14:paraId="78B60637" w14:textId="77777777" w:rsidR="00A366F4" w:rsidRDefault="00A366F4" w:rsidP="00A366F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95B52"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“3.3. Prima de emisión</w:t>
      </w:r>
    </w:p>
    <w:p w14:paraId="39D155FF"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EDCDF32"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6A6B468C"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7E4A58"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3.3.1. Reconocimiento posterior</w:t>
      </w:r>
    </w:p>
    <w:p w14:paraId="77F6D181"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2D04343"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Tras el reconocimiento inicial, las Entidades Empresariales podrán disminuir el rubro de prima de emisión cuando ocurran las siguientes situaciones:</w:t>
      </w:r>
    </w:p>
    <w:p w14:paraId="1AB155DB"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377758"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(I) Por el reembolso de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transacción que estará sometida a las mismas reglas del capital. Por ende, será necesario que esta Superintendencia autorice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disminución de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en los términos del Artículo 145 del Código de Comercio.</w:t>
      </w:r>
    </w:p>
    <w:p w14:paraId="0AEA3B12"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6E8DBAF"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reconocimiento contable del reembolso de la prima de emisión generará una disminución en el valor de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y una disminución en el activo o activos con los que se efectúe el reembolso.</w:t>
      </w:r>
    </w:p>
    <w:p w14:paraId="3E40A09E"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5E9148"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(II) Por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capitalización de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previa aprobación del máximo órgano social. En este caso se procede a emitir y distribuir Instrumentos de Patrimonio con el mismo valor nominal, en cabeza de cada uno de los socios, en proporción a su participación en el capital social.</w:t>
      </w:r>
    </w:p>
    <w:p w14:paraId="56F866B9"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89B2CF" w14:textId="77777777" w:rsidR="00A366F4" w:rsidRDefault="00A366F4" w:rsidP="00A366F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Contablemente,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capitalización de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supone una reclasificación entre rubros del Patrimonio, disminuyendo </w:t>
      </w:r>
      <w:proofErr w:type="spellStart"/>
      <w:r>
        <w:rPr>
          <w:rFonts w:ascii="Segoe UI" w:hAnsi="Segoe UI" w:cs="Segoe UI"/>
          <w:color w:val="000000"/>
          <w:sz w:val="21"/>
          <w:szCs w:val="21"/>
        </w:rPr>
        <w:t>Ia</w:t>
      </w:r>
      <w:proofErr w:type="spellEnd"/>
      <w:r>
        <w:rPr>
          <w:rFonts w:ascii="Segoe UI" w:hAnsi="Segoe UI" w:cs="Segoe UI"/>
          <w:color w:val="000000"/>
          <w:sz w:val="21"/>
          <w:szCs w:val="21"/>
        </w:rPr>
        <w:t xml:space="preserve"> prima de emisión y aumentando el rubro de capital emitido.”.</w:t>
      </w:r>
      <w:hyperlink r:id="rId7" w:anchor="cite_note-3" w:history="1">
        <w:r>
          <w:rPr>
            <w:rStyle w:val="Hipervnculo"/>
            <w:rFonts w:ascii="Segoe UI" w:hAnsi="Segoe UI" w:cs="Segoe UI"/>
            <w:color w:val="0645AD"/>
            <w:sz w:val="21"/>
            <w:szCs w:val="21"/>
            <w:vertAlign w:val="superscript"/>
          </w:rPr>
          <w:t>3</w:t>
        </w:r>
      </w:hyperlink>
    </w:p>
    <w:p w14:paraId="72000A2E" w14:textId="069387F7" w:rsidR="00A366F4" w:rsidRDefault="00A366F4"/>
    <w:p w14:paraId="2D347326" w14:textId="77777777" w:rsidR="00A366F4" w:rsidRPr="00A366F4" w:rsidRDefault="00A366F4" w:rsidP="00A366F4">
      <w:pPr>
        <w:spacing w:after="0" w:line="240" w:lineRule="auto"/>
        <w:jc w:val="both"/>
        <w:rPr>
          <w:rFonts w:ascii="Segoe UI" w:eastAsia="Times New Roman" w:hAnsi="Segoe UI" w:cs="Segoe UI"/>
          <w:color w:val="000000"/>
          <w:sz w:val="21"/>
          <w:szCs w:val="21"/>
          <w:lang w:eastAsia="es-CO"/>
        </w:rPr>
      </w:pPr>
      <w:r w:rsidRPr="00A366F4">
        <w:rPr>
          <w:rFonts w:ascii="Segoe UI" w:eastAsia="Times New Roman" w:hAnsi="Segoe UI" w:cs="Segoe UI"/>
          <w:color w:val="000000"/>
          <w:sz w:val="21"/>
          <w:szCs w:val="21"/>
          <w:lang w:eastAsia="es-CO"/>
        </w:rPr>
        <w:t>Conforme a lo anterior, no es posible utilizar la prima en emisión de acciones para readquirir acciones, ya que esta no es considerada como una utilidad de la sociedad sino como parte del aporte y de conformidad con el artículo 396 del Código de Comercio, la readquisición de acciones en una sociedad debe realizarse con las utilidades liquidas de la misma.</w:t>
      </w:r>
    </w:p>
    <w:p w14:paraId="5032368C" w14:textId="77777777" w:rsidR="00A366F4" w:rsidRPr="00A366F4" w:rsidRDefault="00A366F4" w:rsidP="00A366F4">
      <w:pPr>
        <w:spacing w:after="0" w:line="240" w:lineRule="auto"/>
        <w:jc w:val="both"/>
        <w:rPr>
          <w:rFonts w:ascii="Segoe UI" w:eastAsia="Times New Roman" w:hAnsi="Segoe UI" w:cs="Segoe UI"/>
          <w:color w:val="000000"/>
          <w:sz w:val="21"/>
          <w:szCs w:val="21"/>
          <w:lang w:eastAsia="es-CO"/>
        </w:rPr>
      </w:pPr>
      <w:r w:rsidRPr="00A366F4">
        <w:rPr>
          <w:rFonts w:ascii="Segoe UI" w:eastAsia="Times New Roman" w:hAnsi="Segoe UI" w:cs="Segoe UI"/>
          <w:color w:val="000000"/>
          <w:sz w:val="21"/>
          <w:szCs w:val="21"/>
          <w:lang w:eastAsia="es-CO"/>
        </w:rPr>
        <w:t> </w:t>
      </w:r>
    </w:p>
    <w:p w14:paraId="3163661D" w14:textId="77777777" w:rsidR="00A366F4" w:rsidRPr="00A366F4" w:rsidRDefault="00A366F4" w:rsidP="00A366F4">
      <w:pPr>
        <w:spacing w:after="0" w:line="240" w:lineRule="auto"/>
        <w:jc w:val="both"/>
        <w:rPr>
          <w:rFonts w:ascii="Segoe UI" w:eastAsia="Times New Roman" w:hAnsi="Segoe UI" w:cs="Segoe UI"/>
          <w:color w:val="000000"/>
          <w:sz w:val="21"/>
          <w:szCs w:val="21"/>
          <w:lang w:eastAsia="es-CO"/>
        </w:rPr>
      </w:pPr>
      <w:r w:rsidRPr="00A366F4">
        <w:rPr>
          <w:rFonts w:ascii="Segoe UI" w:eastAsia="Times New Roman" w:hAnsi="Segoe UI" w:cs="Segoe UI"/>
          <w:color w:val="000000"/>
          <w:sz w:val="21"/>
          <w:szCs w:val="21"/>
          <w:lang w:eastAsia="es-CO"/>
        </w:rPr>
        <w:t xml:space="preserve">Finalmente, se le informa que puede consultar en la Página WEB de esta Entidad, la normatividad, los conceptos jurídicos sobre los temas de su interés y el aplicativo Tesauro, donde podrá encontrar </w:t>
      </w:r>
      <w:proofErr w:type="gramStart"/>
      <w:r w:rsidRPr="00A366F4">
        <w:rPr>
          <w:rFonts w:ascii="Segoe UI" w:eastAsia="Times New Roman" w:hAnsi="Segoe UI" w:cs="Segoe UI"/>
          <w:color w:val="000000"/>
          <w:sz w:val="21"/>
          <w:szCs w:val="21"/>
          <w:lang w:eastAsia="es-CO"/>
        </w:rPr>
        <w:t>mayor información</w:t>
      </w:r>
      <w:proofErr w:type="gramEnd"/>
      <w:r w:rsidRPr="00A366F4">
        <w:rPr>
          <w:rFonts w:ascii="Segoe UI" w:eastAsia="Times New Roman" w:hAnsi="Segoe UI" w:cs="Segoe UI"/>
          <w:color w:val="000000"/>
          <w:sz w:val="21"/>
          <w:szCs w:val="21"/>
          <w:lang w:eastAsia="es-CO"/>
        </w:rPr>
        <w:t xml:space="preserve"> respecto de la doctrina y la jurisprudencia mercantil emitida por la Entidad.</w:t>
      </w:r>
    </w:p>
    <w:p w14:paraId="4D51246D" w14:textId="77777777" w:rsidR="00A366F4" w:rsidRPr="00A366F4" w:rsidRDefault="00A366F4" w:rsidP="00A366F4">
      <w:pPr>
        <w:spacing w:after="285" w:line="240" w:lineRule="auto"/>
        <w:jc w:val="both"/>
        <w:outlineLvl w:val="2"/>
        <w:rPr>
          <w:rFonts w:ascii="Segoe UI" w:eastAsia="Times New Roman" w:hAnsi="Segoe UI" w:cs="Segoe UI"/>
          <w:b/>
          <w:bCs/>
          <w:color w:val="000000"/>
          <w:sz w:val="21"/>
          <w:szCs w:val="21"/>
          <w:lang w:eastAsia="es-CO"/>
        </w:rPr>
      </w:pPr>
      <w:r w:rsidRPr="00A366F4">
        <w:rPr>
          <w:rFonts w:ascii="Segoe UI" w:eastAsia="Times New Roman" w:hAnsi="Segoe UI" w:cs="Segoe UI"/>
          <w:b/>
          <w:bCs/>
          <w:color w:val="000000"/>
          <w:sz w:val="21"/>
          <w:szCs w:val="21"/>
          <w:lang w:eastAsia="es-CO"/>
        </w:rPr>
        <w:t>Notas al pie</w:t>
      </w:r>
    </w:p>
    <w:p w14:paraId="7FC67AE5" w14:textId="7C65B11A" w:rsidR="00A366F4" w:rsidRDefault="00A366F4"/>
    <w:p w14:paraId="644833D8" w14:textId="40F9D9FC" w:rsidR="00A366F4" w:rsidRDefault="00A366F4"/>
    <w:tbl>
      <w:tblPr>
        <w:tblW w:w="0" w:type="auto"/>
        <w:tblCellSpacing w:w="0" w:type="dxa"/>
        <w:tblCellMar>
          <w:left w:w="0" w:type="dxa"/>
          <w:right w:w="0" w:type="dxa"/>
        </w:tblCellMar>
        <w:tblLook w:val="04A0" w:firstRow="1" w:lastRow="0" w:firstColumn="1" w:lastColumn="0" w:noHBand="0" w:noVBand="1"/>
      </w:tblPr>
      <w:tblGrid>
        <w:gridCol w:w="9356"/>
      </w:tblGrid>
      <w:tr w:rsidR="00A366F4" w:rsidRPr="00A366F4" w14:paraId="187D6CBC" w14:textId="77777777" w:rsidTr="00A366F4">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A366F4" w:rsidRPr="00A366F4" w14:paraId="6142AA51" w14:textId="77777777">
              <w:trPr>
                <w:tblCellSpacing w:w="0" w:type="dxa"/>
              </w:trPr>
              <w:tc>
                <w:tcPr>
                  <w:tcW w:w="0" w:type="auto"/>
                  <w:shd w:val="clear" w:color="auto" w:fill="FFFFFF"/>
                  <w:tcMar>
                    <w:top w:w="30" w:type="dxa"/>
                    <w:left w:w="30" w:type="dxa"/>
                    <w:bottom w:w="30" w:type="dxa"/>
                    <w:right w:w="30" w:type="dxa"/>
                  </w:tcMar>
                  <w:vAlign w:val="center"/>
                  <w:hideMark/>
                </w:tcPr>
                <w:p w14:paraId="19B12E2A" w14:textId="77777777" w:rsidR="00A366F4" w:rsidRPr="00A366F4" w:rsidRDefault="00A366F4" w:rsidP="00A366F4">
                  <w:pPr>
                    <w:numPr>
                      <w:ilvl w:val="1"/>
                      <w:numId w:val="2"/>
                    </w:numPr>
                    <w:spacing w:before="100" w:beforeAutospacing="1" w:after="100" w:afterAutospacing="1" w:line="240" w:lineRule="auto"/>
                    <w:ind w:left="720"/>
                    <w:jc w:val="both"/>
                    <w:rPr>
                      <w:rFonts w:ascii="Segoe UI" w:eastAsia="Times New Roman" w:hAnsi="Segoe UI" w:cs="Segoe UI"/>
                      <w:sz w:val="21"/>
                      <w:szCs w:val="21"/>
                      <w:lang w:eastAsia="es-CO"/>
                    </w:rPr>
                  </w:pPr>
                  <w:hyperlink r:id="rId8" w:anchor="cite_ref-1" w:tooltip="Volver arriba" w:history="1">
                    <w:r w:rsidRPr="00A366F4">
                      <w:rPr>
                        <w:rFonts w:ascii="Segoe UI" w:eastAsia="Times New Roman" w:hAnsi="Segoe UI" w:cs="Segoe UI"/>
                        <w:color w:val="0645AD"/>
                        <w:sz w:val="21"/>
                        <w:szCs w:val="21"/>
                        <w:u w:val="single"/>
                        <w:lang w:eastAsia="es-CO"/>
                      </w:rPr>
                      <w:t>↑</w:t>
                    </w:r>
                  </w:hyperlink>
                  <w:r w:rsidRPr="00A366F4">
                    <w:rPr>
                      <w:rFonts w:ascii="Segoe UI" w:eastAsia="Times New Roman" w:hAnsi="Segoe UI" w:cs="Segoe UI"/>
                      <w:sz w:val="21"/>
                      <w:szCs w:val="21"/>
                      <w:lang w:eastAsia="es-CO"/>
                    </w:rPr>
                    <w:t> COLOMBIA. SUPERINTENDENCIA DE SOCIEDADES. Oficio 220-234568 (31 de octubre de 2022). Asunto: Régimen Jurídico de la Readquisición de Acciones. Disponible en:</w:t>
                  </w:r>
                </w:p>
                <w:p w14:paraId="3D44C54B" w14:textId="77777777" w:rsidR="00A366F4" w:rsidRPr="00A366F4" w:rsidRDefault="00A366F4" w:rsidP="00A366F4">
                  <w:pPr>
                    <w:numPr>
                      <w:ilvl w:val="1"/>
                      <w:numId w:val="2"/>
                    </w:numPr>
                    <w:spacing w:before="100" w:beforeAutospacing="1" w:after="100" w:afterAutospacing="1" w:line="240" w:lineRule="auto"/>
                    <w:ind w:left="720"/>
                    <w:jc w:val="both"/>
                    <w:rPr>
                      <w:rFonts w:ascii="Segoe UI" w:eastAsia="Times New Roman" w:hAnsi="Segoe UI" w:cs="Segoe UI"/>
                      <w:sz w:val="21"/>
                      <w:szCs w:val="21"/>
                      <w:lang w:eastAsia="es-CO"/>
                    </w:rPr>
                  </w:pPr>
                  <w:hyperlink r:id="rId9" w:anchor="cite_ref-2" w:tooltip="Volver arriba" w:history="1">
                    <w:r w:rsidRPr="00A366F4">
                      <w:rPr>
                        <w:rFonts w:ascii="Segoe UI" w:eastAsia="Times New Roman" w:hAnsi="Segoe UI" w:cs="Segoe UI"/>
                        <w:color w:val="0645AD"/>
                        <w:sz w:val="21"/>
                        <w:szCs w:val="21"/>
                        <w:u w:val="single"/>
                        <w:lang w:eastAsia="es-CO"/>
                      </w:rPr>
                      <w:t>↑</w:t>
                    </w:r>
                  </w:hyperlink>
                  <w:r w:rsidRPr="00A366F4">
                    <w:rPr>
                      <w:rFonts w:ascii="Segoe UI" w:eastAsia="Times New Roman" w:hAnsi="Segoe UI" w:cs="Segoe UI"/>
                      <w:sz w:val="21"/>
                      <w:szCs w:val="21"/>
                      <w:lang w:eastAsia="es-CO"/>
                    </w:rPr>
                    <w:t> COLOMBIA. SUPERINTENDENCIA DE SOCIEDADES. Oficio 220-103001 (10 de junio de 2022). Asunto: Prima de emisión de acciones. Disponible en: </w:t>
                  </w:r>
                  <w:hyperlink r:id="rId10" w:tgtFrame="_blank" w:history="1">
                    <w:r w:rsidRPr="00A366F4">
                      <w:rPr>
                        <w:rFonts w:ascii="Segoe UI" w:eastAsia="Times New Roman" w:hAnsi="Segoe UI" w:cs="Segoe UI"/>
                        <w:color w:val="0645AD"/>
                        <w:sz w:val="21"/>
                        <w:szCs w:val="21"/>
                        <w:u w:val="single"/>
                        <w:lang w:eastAsia="es-CO"/>
                      </w:rPr>
                      <w:t>https://tesauro.supersociedades.gov.co/jsonviewer/NE3u7oEBIlrnnHGSasmz</w:t>
                    </w:r>
                  </w:hyperlink>
                </w:p>
                <w:p w14:paraId="1251A564" w14:textId="77777777" w:rsidR="00A366F4" w:rsidRPr="00A366F4" w:rsidRDefault="00A366F4" w:rsidP="00A366F4">
                  <w:pPr>
                    <w:numPr>
                      <w:ilvl w:val="1"/>
                      <w:numId w:val="2"/>
                    </w:numPr>
                    <w:spacing w:before="100" w:beforeAutospacing="1" w:after="100" w:afterAutospacing="1" w:line="240" w:lineRule="auto"/>
                    <w:ind w:left="720"/>
                    <w:jc w:val="both"/>
                    <w:rPr>
                      <w:rFonts w:ascii="Segoe UI" w:eastAsia="Times New Roman" w:hAnsi="Segoe UI" w:cs="Segoe UI"/>
                      <w:sz w:val="21"/>
                      <w:szCs w:val="21"/>
                      <w:lang w:eastAsia="es-CO"/>
                    </w:rPr>
                  </w:pPr>
                  <w:hyperlink r:id="rId11" w:anchor="cite_ref-3" w:tooltip="Volver arriba" w:history="1">
                    <w:r w:rsidRPr="00A366F4">
                      <w:rPr>
                        <w:rFonts w:ascii="Segoe UI" w:eastAsia="Times New Roman" w:hAnsi="Segoe UI" w:cs="Segoe UI"/>
                        <w:color w:val="0645AD"/>
                        <w:sz w:val="21"/>
                        <w:szCs w:val="21"/>
                        <w:u w:val="single"/>
                        <w:lang w:eastAsia="es-CO"/>
                      </w:rPr>
                      <w:t>↑</w:t>
                    </w:r>
                  </w:hyperlink>
                  <w:r w:rsidRPr="00A366F4">
                    <w:rPr>
                      <w:rFonts w:ascii="Segoe UI" w:eastAsia="Times New Roman" w:hAnsi="Segoe UI" w:cs="Segoe UI"/>
                      <w:sz w:val="21"/>
                      <w:szCs w:val="21"/>
                      <w:lang w:eastAsia="es-CO"/>
                    </w:rPr>
                    <w:t> COLOMBIA. SUPERINTENDENCIA DE SOCIEDADES. Oficio 220-242929 (15 de noviembre de 2022). Asunto: Hipótesis de negocio en marcha - prima de emisión de acciones. disponible en:</w:t>
                  </w:r>
                </w:p>
              </w:tc>
            </w:tr>
          </w:tbl>
          <w:p w14:paraId="558CE015" w14:textId="77777777" w:rsidR="00A366F4" w:rsidRPr="00A366F4" w:rsidRDefault="00A366F4" w:rsidP="00A366F4">
            <w:pPr>
              <w:spacing w:after="0" w:line="240" w:lineRule="auto"/>
              <w:rPr>
                <w:rFonts w:eastAsia="Times New Roman" w:cs="Times New Roman"/>
                <w:szCs w:val="24"/>
                <w:lang w:eastAsia="es-CO"/>
              </w:rPr>
            </w:pPr>
          </w:p>
        </w:tc>
      </w:tr>
    </w:tbl>
    <w:p w14:paraId="1EC11961" w14:textId="77777777" w:rsidR="00A366F4" w:rsidRPr="00A366F4" w:rsidRDefault="00A366F4" w:rsidP="00A366F4">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A366F4" w:rsidRPr="00A366F4" w14:paraId="104D700F" w14:textId="77777777" w:rsidTr="00A366F4">
        <w:trPr>
          <w:trHeight w:val="444"/>
          <w:tblCellSpacing w:w="0" w:type="dxa"/>
        </w:trPr>
        <w:tc>
          <w:tcPr>
            <w:tcW w:w="120" w:type="dxa"/>
            <w:shd w:val="clear" w:color="auto" w:fill="FFFFFF"/>
            <w:hideMark/>
          </w:tcPr>
          <w:p w14:paraId="70F750BD" w14:textId="77777777" w:rsidR="00A366F4" w:rsidRPr="00A366F4" w:rsidRDefault="00A366F4" w:rsidP="00A366F4">
            <w:pPr>
              <w:spacing w:after="0" w:line="240" w:lineRule="auto"/>
              <w:rPr>
                <w:rFonts w:ascii="Segoe UI" w:eastAsia="Times New Roman" w:hAnsi="Segoe UI" w:cs="Segoe UI"/>
                <w:color w:val="000000"/>
                <w:sz w:val="27"/>
                <w:szCs w:val="27"/>
                <w:lang w:eastAsia="es-CO"/>
              </w:rPr>
            </w:pPr>
            <w:r w:rsidRPr="00A366F4">
              <w:rPr>
                <w:rFonts w:ascii="Segoe UI" w:eastAsia="Times New Roman" w:hAnsi="Segoe UI" w:cs="Segoe UI"/>
                <w:noProof/>
                <w:color w:val="000000"/>
                <w:sz w:val="27"/>
                <w:szCs w:val="27"/>
                <w:lang w:eastAsia="es-CO"/>
              </w:rPr>
              <w:drawing>
                <wp:inline distT="0" distB="0" distL="0" distR="0" wp14:anchorId="05D0996A" wp14:editId="2E9A2032">
                  <wp:extent cx="76200" cy="76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5AE14CD5" w14:textId="77777777" w:rsidR="00A366F4" w:rsidRPr="00A366F4" w:rsidRDefault="00A366F4" w:rsidP="00A366F4">
            <w:pPr>
              <w:spacing w:after="0" w:line="240" w:lineRule="auto"/>
              <w:rPr>
                <w:rFonts w:eastAsia="Times New Roman" w:cs="Times New Roman"/>
                <w:szCs w:val="24"/>
                <w:lang w:eastAsia="es-CO"/>
              </w:rPr>
            </w:pPr>
            <w:r w:rsidRPr="00A366F4">
              <w:rPr>
                <w:rFonts w:eastAsia="Times New Roman" w:cs="Times New Roman"/>
                <w:szCs w:val="24"/>
                <w:lang w:eastAsia="es-CO"/>
              </w:rPr>
              <w:br/>
            </w:r>
          </w:p>
        </w:tc>
      </w:tr>
    </w:tbl>
    <w:p w14:paraId="4C2C5D55" w14:textId="77777777" w:rsidR="00A366F4" w:rsidRDefault="00A366F4"/>
    <w:sectPr w:rsidR="00A366F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7F1"/>
    <w:multiLevelType w:val="multilevel"/>
    <w:tmpl w:val="1040C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3D31F6"/>
    <w:multiLevelType w:val="multilevel"/>
    <w:tmpl w:val="E118E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415663">
    <w:abstractNumId w:val="0"/>
  </w:num>
  <w:num w:numId="2" w16cid:durableId="9571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F4"/>
    <w:rsid w:val="000F3837"/>
    <w:rsid w:val="001E311E"/>
    <w:rsid w:val="00434AE6"/>
    <w:rsid w:val="007F5CC8"/>
    <w:rsid w:val="008779BE"/>
    <w:rsid w:val="00A366F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A29"/>
  <w15:chartTrackingRefBased/>
  <w15:docId w15:val="{79F9384F-BD16-4AE9-BBC5-DDEECBF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66F4"/>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A36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622">
      <w:bodyDiv w:val="1"/>
      <w:marLeft w:val="0"/>
      <w:marRight w:val="0"/>
      <w:marTop w:val="0"/>
      <w:marBottom w:val="0"/>
      <w:divBdr>
        <w:top w:val="none" w:sz="0" w:space="0" w:color="auto"/>
        <w:left w:val="none" w:sz="0" w:space="0" w:color="auto"/>
        <w:bottom w:val="none" w:sz="0" w:space="0" w:color="auto"/>
        <w:right w:val="none" w:sz="0" w:space="0" w:color="auto"/>
      </w:divBdr>
    </w:div>
    <w:div w:id="868495141">
      <w:bodyDiv w:val="1"/>
      <w:marLeft w:val="0"/>
      <w:marRight w:val="0"/>
      <w:marTop w:val="0"/>
      <w:marBottom w:val="0"/>
      <w:divBdr>
        <w:top w:val="none" w:sz="0" w:space="0" w:color="auto"/>
        <w:left w:val="none" w:sz="0" w:space="0" w:color="auto"/>
        <w:bottom w:val="none" w:sz="0" w:space="0" w:color="auto"/>
        <w:right w:val="none" w:sz="0" w:space="0" w:color="auto"/>
      </w:divBdr>
    </w:div>
    <w:div w:id="1097285309">
      <w:bodyDiv w:val="1"/>
      <w:marLeft w:val="0"/>
      <w:marRight w:val="0"/>
      <w:marTop w:val="0"/>
      <w:marBottom w:val="0"/>
      <w:divBdr>
        <w:top w:val="none" w:sz="0" w:space="0" w:color="auto"/>
        <w:left w:val="none" w:sz="0" w:space="0" w:color="auto"/>
        <w:bottom w:val="none" w:sz="0" w:space="0" w:color="auto"/>
        <w:right w:val="none" w:sz="0" w:space="0" w:color="auto"/>
      </w:divBdr>
    </w:div>
    <w:div w:id="1676296835">
      <w:bodyDiv w:val="1"/>
      <w:marLeft w:val="0"/>
      <w:marRight w:val="0"/>
      <w:marTop w:val="0"/>
      <w:marBottom w:val="0"/>
      <w:divBdr>
        <w:top w:val="none" w:sz="0" w:space="0" w:color="auto"/>
        <w:left w:val="none" w:sz="0" w:space="0" w:color="auto"/>
        <w:bottom w:val="none" w:sz="0" w:space="0" w:color="auto"/>
        <w:right w:val="none" w:sz="0" w:space="0" w:color="auto"/>
      </w:divBdr>
    </w:div>
    <w:div w:id="180296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6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45697"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5697" TargetMode="External"/><Relationship Id="rId11" Type="http://schemas.openxmlformats.org/officeDocument/2006/relationships/hyperlink" Target="https://www.ceta.org.co/html/vista_de_un_documento.asp?DocumentoID=45697" TargetMode="External"/><Relationship Id="rId5" Type="http://schemas.openxmlformats.org/officeDocument/2006/relationships/hyperlink" Target="https://www.ceta.org.co/html/vista_de_un_documento.asp?DocumentoID=45697" TargetMode="External"/><Relationship Id="rId10" Type="http://schemas.openxmlformats.org/officeDocument/2006/relationships/hyperlink" Target="https://tesauro.supersociedades.gov.co/jsonviewer/NE3u7oEBIlrnnHGSasmz"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69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5847</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2023-02-12T23:17:00Z</dcterms:created>
  <dcterms:modified xsi:type="dcterms:W3CDTF">2023-02-12T23:19:00Z</dcterms:modified>
</cp:coreProperties>
</file>