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84580" w14:textId="5EF916C7" w:rsidR="004E300B" w:rsidRPr="004E300B" w:rsidRDefault="004E300B" w:rsidP="004E300B">
      <w:pPr>
        <w:pStyle w:val="NormalWeb"/>
        <w:shd w:val="clear" w:color="auto" w:fill="FFFFFF"/>
        <w:spacing w:before="0" w:beforeAutospacing="0"/>
        <w:jc w:val="center"/>
        <w:rPr>
          <w:b/>
          <w:bCs/>
          <w:color w:val="212529"/>
          <w:sz w:val="36"/>
          <w:szCs w:val="36"/>
        </w:rPr>
      </w:pPr>
      <w:r w:rsidRPr="004E300B">
        <w:rPr>
          <w:b/>
          <w:bCs/>
          <w:color w:val="212529"/>
          <w:sz w:val="36"/>
          <w:szCs w:val="36"/>
        </w:rPr>
        <w:t xml:space="preserve">SUPERSOCIEDADES </w:t>
      </w:r>
    </w:p>
    <w:p w14:paraId="56AC8880" w14:textId="6C54EF2B" w:rsidR="004E300B" w:rsidRPr="004E300B" w:rsidRDefault="004E300B" w:rsidP="004E300B">
      <w:pPr>
        <w:pStyle w:val="NormalWeb"/>
        <w:shd w:val="clear" w:color="auto" w:fill="FFFFFF"/>
        <w:spacing w:before="0" w:beforeAutospacing="0"/>
        <w:jc w:val="center"/>
        <w:rPr>
          <w:b/>
          <w:bCs/>
          <w:color w:val="212529"/>
          <w:sz w:val="36"/>
          <w:szCs w:val="36"/>
        </w:rPr>
      </w:pPr>
      <w:r w:rsidRPr="004E300B">
        <w:rPr>
          <w:b/>
          <w:bCs/>
          <w:color w:val="212529"/>
          <w:sz w:val="36"/>
          <w:szCs w:val="36"/>
        </w:rPr>
        <w:t>Oficio 220-000871</w:t>
      </w:r>
      <w:r w:rsidRPr="004E300B">
        <w:rPr>
          <w:b/>
          <w:bCs/>
          <w:color w:val="212529"/>
          <w:sz w:val="36"/>
          <w:szCs w:val="36"/>
        </w:rPr>
        <w:t xml:space="preserve">- </w:t>
      </w:r>
      <w:r w:rsidRPr="004E300B">
        <w:rPr>
          <w:b/>
          <w:bCs/>
          <w:color w:val="212529"/>
          <w:sz w:val="36"/>
          <w:szCs w:val="36"/>
        </w:rPr>
        <w:t xml:space="preserve">  10 de enero de 2019</w:t>
      </w:r>
    </w:p>
    <w:p w14:paraId="33FD6B8B" w14:textId="77777777" w:rsidR="004E300B" w:rsidRPr="004E300B" w:rsidRDefault="004E300B" w:rsidP="004E300B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4E300B">
        <w:rPr>
          <w:color w:val="212529"/>
        </w:rPr>
        <w:t> </w:t>
      </w:r>
    </w:p>
    <w:p w14:paraId="3610832E" w14:textId="4F6A646E" w:rsidR="004E300B" w:rsidRPr="004E300B" w:rsidRDefault="004E300B" w:rsidP="004E300B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4E300B">
        <w:rPr>
          <w:color w:val="212529"/>
        </w:rPr>
        <w:t>Me remito a su comunicación radicada por la WEBMASTER de esta</w:t>
      </w:r>
      <w:r w:rsidRPr="004E300B">
        <w:rPr>
          <w:color w:val="212529"/>
        </w:rPr>
        <w:br/>
        <w:t>Superintendencia bajo el número de radicado 2018-01-532314 en fecha de 3 de</w:t>
      </w:r>
      <w:r w:rsidRPr="004E300B">
        <w:rPr>
          <w:color w:val="212529"/>
        </w:rPr>
        <w:br/>
        <w:t>diciembre de 2018, y mediante la cual se solicita concepto, sobre los siguientes</w:t>
      </w:r>
      <w:r w:rsidRPr="004E300B">
        <w:rPr>
          <w:color w:val="212529"/>
        </w:rPr>
        <w:br/>
        <w:t>aspectos, en virtud de lo determinado en el artículo 129 del Código de Comercio</w:t>
      </w:r>
      <w:r w:rsidRPr="004E300B">
        <w:rPr>
          <w:color w:val="212529"/>
        </w:rPr>
        <w:br/>
        <w:t xml:space="preserve">que dispone </w:t>
      </w:r>
      <w:r w:rsidRPr="004E300B">
        <w:rPr>
          <w:color w:val="212529"/>
        </w:rPr>
        <w:t>que,</w:t>
      </w:r>
      <w:r w:rsidRPr="004E300B">
        <w:rPr>
          <w:color w:val="212529"/>
        </w:rPr>
        <w:t xml:space="preserve"> para aportar un crédito a una sociedad, éste deberá ser exigible</w:t>
      </w:r>
      <w:r w:rsidRPr="004E300B">
        <w:rPr>
          <w:color w:val="212529"/>
        </w:rPr>
        <w:br/>
        <w:t>dentro del año siguiente a la fecha del aporte: </w:t>
      </w:r>
    </w:p>
    <w:p w14:paraId="409A2F1C" w14:textId="54E18BB5" w:rsidR="004E300B" w:rsidRPr="004E300B" w:rsidRDefault="004E300B" w:rsidP="004E300B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4E300B">
        <w:rPr>
          <w:color w:val="212529"/>
        </w:rPr>
        <w:t>1. ¿Es posible que la Asamblea General de Accionistas con el 100% de los</w:t>
      </w:r>
      <w:r w:rsidRPr="004E300B">
        <w:rPr>
          <w:color w:val="212529"/>
        </w:rPr>
        <w:br/>
        <w:t xml:space="preserve">votos pueda aceptar un crédito que sea superior a </w:t>
      </w:r>
      <w:r w:rsidRPr="004E300B">
        <w:rPr>
          <w:color w:val="212529"/>
        </w:rPr>
        <w:t>este</w:t>
      </w:r>
      <w:r w:rsidRPr="004E300B">
        <w:rPr>
          <w:color w:val="212529"/>
        </w:rPr>
        <w:t xml:space="preserve"> </w:t>
      </w:r>
      <w:r w:rsidRPr="004E300B">
        <w:rPr>
          <w:color w:val="212529"/>
        </w:rPr>
        <w:t>tiempo?</w:t>
      </w:r>
      <w:r w:rsidRPr="004E300B">
        <w:rPr>
          <w:color w:val="212529"/>
        </w:rPr>
        <w:t> </w:t>
      </w:r>
    </w:p>
    <w:p w14:paraId="760E1F88" w14:textId="77777777" w:rsidR="004E300B" w:rsidRPr="004E300B" w:rsidRDefault="004E300B" w:rsidP="004E300B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4E300B">
        <w:rPr>
          <w:color w:val="212529"/>
        </w:rPr>
        <w:t>2. ¿Esos créditos hacen referencia exclusiva a títulos valores, o puede</w:t>
      </w:r>
      <w:r w:rsidRPr="004E300B">
        <w:rPr>
          <w:color w:val="212529"/>
        </w:rPr>
        <w:br/>
        <w:t>hacer referencia a créditos de otro tipo?.</w:t>
      </w:r>
    </w:p>
    <w:p w14:paraId="29FA028A" w14:textId="2309901A" w:rsidR="004E300B" w:rsidRPr="004E300B" w:rsidRDefault="004E300B" w:rsidP="004E300B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4E300B">
        <w:rPr>
          <w:color w:val="212529"/>
        </w:rPr>
        <w:t>Sobre el particular se debe señalar que en atención al derecho de petición en la</w:t>
      </w:r>
      <w:r w:rsidRPr="004E300B">
        <w:rPr>
          <w:color w:val="212529"/>
        </w:rPr>
        <w:br/>
        <w:t>modalidad de consulta, la Superintendencia con fundamento en los Artículos 14 y</w:t>
      </w:r>
      <w:r w:rsidRPr="004E300B">
        <w:rPr>
          <w:color w:val="212529"/>
        </w:rPr>
        <w:br/>
        <w:t>28 de la Ley 1755 de 2015, que sustituye un título del Código de Procedimiento</w:t>
      </w:r>
      <w:r w:rsidRPr="004E300B">
        <w:rPr>
          <w:color w:val="212529"/>
        </w:rPr>
        <w:br/>
        <w:t>Administrativo y de lo Contencioso Administrativo emite un concepto de carácter</w:t>
      </w:r>
      <w:r w:rsidRPr="004E300B">
        <w:rPr>
          <w:color w:val="212529"/>
        </w:rPr>
        <w:br/>
        <w:t>general sobre las materias a su cargo, mas no en relación con una sociedad o</w:t>
      </w:r>
      <w:r w:rsidRPr="004E300B">
        <w:rPr>
          <w:color w:val="212529"/>
        </w:rPr>
        <w:br/>
        <w:t>situación en particular, razón por la cual sus respuestas en esta instancia no son</w:t>
      </w:r>
      <w:r w:rsidRPr="004E300B">
        <w:rPr>
          <w:color w:val="212529"/>
        </w:rPr>
        <w:br/>
        <w:t>vinculantes ni comprometen la responsabilidad de la entidad.</w:t>
      </w:r>
    </w:p>
    <w:p w14:paraId="76E2229E" w14:textId="68C1B598" w:rsidR="004E300B" w:rsidRPr="004E300B" w:rsidRDefault="004E300B" w:rsidP="004E300B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4E300B">
        <w:rPr>
          <w:color w:val="212529"/>
        </w:rPr>
        <w:t>De conformidad con lo expuesto es de indicar que el artículo 129 del Código de</w:t>
      </w:r>
      <w:r w:rsidRPr="004E300B">
        <w:rPr>
          <w:color w:val="212529"/>
        </w:rPr>
        <w:br/>
        <w:t>Comercio establece en efecto que el crédito deberá exigirse dentro del año</w:t>
      </w:r>
      <w:r w:rsidRPr="004E300B">
        <w:rPr>
          <w:color w:val="212529"/>
        </w:rPr>
        <w:br/>
        <w:t>siguiente a la fecha del aporte, razón por la cual si el mismo no fuere pagado en el</w:t>
      </w:r>
      <w:r w:rsidRPr="004E300B">
        <w:rPr>
          <w:color w:val="212529"/>
        </w:rPr>
        <w:br/>
        <w:t>plazo establecido, el aportante deberá pagar el valor o su faltante dentro de los 30</w:t>
      </w:r>
      <w:r w:rsidRPr="004E300B">
        <w:rPr>
          <w:color w:val="212529"/>
        </w:rPr>
        <w:br/>
        <w:t>días siguientes a su vencimiento, adicionando a ello los intereses corrientes del</w:t>
      </w:r>
      <w:r w:rsidRPr="004E300B">
        <w:rPr>
          <w:color w:val="212529"/>
        </w:rPr>
        <w:br/>
        <w:t>monto que no haya sido cancelado y los gastos de la cobranza respectiva si a ello</w:t>
      </w:r>
      <w:r w:rsidRPr="004E300B">
        <w:rPr>
          <w:color w:val="212529"/>
        </w:rPr>
        <w:br/>
        <w:t>hay lugar.</w:t>
      </w:r>
    </w:p>
    <w:p w14:paraId="112A77F0" w14:textId="11678B0D" w:rsidR="004E300B" w:rsidRPr="004E300B" w:rsidRDefault="004E300B" w:rsidP="004E300B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4E300B">
        <w:rPr>
          <w:color w:val="212529"/>
        </w:rPr>
        <w:t>Denótese, que la norma antes descrita contiene una disposición de tipo imperativo</w:t>
      </w:r>
      <w:r w:rsidRPr="004E300B">
        <w:rPr>
          <w:color w:val="212529"/>
        </w:rPr>
        <w:br/>
        <w:t>al señalar que ¨deberá¨, así entonces, es claro que el tiempo no puede ser</w:t>
      </w:r>
      <w:r w:rsidRPr="004E300B">
        <w:rPr>
          <w:color w:val="212529"/>
        </w:rPr>
        <w:br/>
        <w:t>modificado para aumentarlo y que en concordancia con lo establecido por el</w:t>
      </w:r>
      <w:r w:rsidRPr="004E300B">
        <w:rPr>
          <w:color w:val="212529"/>
        </w:rPr>
        <w:br/>
        <w:t>artículo 387 del Código de Comercio, el plazo del pago total de las cuotas pendientes no puede exceder el término de un año contado a partir de la fecha de</w:t>
      </w:r>
      <w:r w:rsidRPr="004E300B">
        <w:rPr>
          <w:color w:val="212529"/>
        </w:rPr>
        <w:br/>
        <w:t>suscripción.</w:t>
      </w:r>
      <w:r w:rsidRPr="004E300B">
        <w:rPr>
          <w:color w:val="212529"/>
        </w:rPr>
        <w:br/>
        <w:t>Así mismo, la doctrina ha referenciado al respecto, frente a la aplicación del</w:t>
      </w:r>
      <w:r w:rsidRPr="004E300B">
        <w:rPr>
          <w:color w:val="212529"/>
        </w:rPr>
        <w:br/>
        <w:t>artículo 129 del Código de Comercio: ¨(…) Por lo demás, la ley exige como</w:t>
      </w:r>
      <w:r w:rsidRPr="004E300B">
        <w:rPr>
          <w:color w:val="212529"/>
        </w:rPr>
        <w:br/>
        <w:t>requisito para esta modalidad de aportación que el crédito sea exigible dentro del</w:t>
      </w:r>
      <w:r w:rsidRPr="004E300B">
        <w:rPr>
          <w:color w:val="212529"/>
        </w:rPr>
        <w:br/>
        <w:t>año siguiente a la fecha de aporte. Este término resulta homogéneo con el plazo</w:t>
      </w:r>
      <w:r w:rsidRPr="004E300B">
        <w:rPr>
          <w:color w:val="212529"/>
        </w:rPr>
        <w:br/>
        <w:t>máximo previsto para el pago del capital en las sociedades por acciones, salvo en</w:t>
      </w:r>
      <w:r w:rsidRPr="004E300B">
        <w:rPr>
          <w:color w:val="212529"/>
        </w:rPr>
        <w:br/>
        <w:t>lo relativo a la sociedad por acciones simplificada, puesto que la ley 1258 de 2008</w:t>
      </w:r>
      <w:r w:rsidRPr="004E300B">
        <w:rPr>
          <w:color w:val="212529"/>
        </w:rPr>
        <w:br/>
        <w:t xml:space="preserve">amplió el plazo para el pago de las acciones suscritas a dos </w:t>
      </w:r>
      <w:proofErr w:type="gramStart"/>
      <w:r w:rsidRPr="004E300B">
        <w:rPr>
          <w:color w:val="212529"/>
        </w:rPr>
        <w:t>años.(</w:t>
      </w:r>
      <w:proofErr w:type="gramEnd"/>
      <w:r w:rsidRPr="004E300B">
        <w:rPr>
          <w:color w:val="212529"/>
        </w:rPr>
        <w:t>…)¨1.</w:t>
      </w:r>
    </w:p>
    <w:p w14:paraId="53539025" w14:textId="6610C874" w:rsidR="004E300B" w:rsidRPr="004E300B" w:rsidRDefault="004E300B" w:rsidP="004E300B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4E300B">
        <w:rPr>
          <w:color w:val="212529"/>
        </w:rPr>
        <w:t>1 REYES VILLAMIZAR, Francisco. Derecho Societario. Tomo I. 3ª Edición. Editorial TEMIS S.A., 2016. 343 p. ISBN 978-958-35-1096-0.</w:t>
      </w:r>
    </w:p>
    <w:p w14:paraId="38714B2F" w14:textId="35DB16BC" w:rsidR="004E300B" w:rsidRPr="004E300B" w:rsidRDefault="004E300B" w:rsidP="004E300B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4E300B">
        <w:rPr>
          <w:color w:val="212529"/>
        </w:rPr>
        <w:t>No obstante, y como se reseñó en la doctrina transcrita, en efecto para las</w:t>
      </w:r>
      <w:r w:rsidRPr="004E300B">
        <w:rPr>
          <w:color w:val="212529"/>
        </w:rPr>
        <w:br/>
        <w:t>sociedades por acciones simplificadas el esquema es diferente, toda vez que la</w:t>
      </w:r>
      <w:r w:rsidRPr="004E300B">
        <w:rPr>
          <w:color w:val="212529"/>
        </w:rPr>
        <w:br/>
        <w:t>normativa societaria especial contenida en la Ley 1258 de 2008, dispone en gran</w:t>
      </w:r>
      <w:r w:rsidRPr="004E300B">
        <w:rPr>
          <w:color w:val="212529"/>
        </w:rPr>
        <w:br/>
        <w:t>flexibilidad en materia de capitalización del tipo societario mencionado. Así</w:t>
      </w:r>
      <w:r w:rsidRPr="004E300B">
        <w:rPr>
          <w:color w:val="212529"/>
        </w:rPr>
        <w:br/>
        <w:t>entonces, el artículo 9 de la ley relacionada, establece que la suscripción y el pago</w:t>
      </w:r>
      <w:r w:rsidRPr="004E300B">
        <w:rPr>
          <w:color w:val="212529"/>
        </w:rPr>
        <w:br/>
        <w:t>del capital podrá hacerse en condiciones, proporciones y plazos distintos de los</w:t>
      </w:r>
      <w:r w:rsidRPr="004E300B">
        <w:rPr>
          <w:color w:val="212529"/>
        </w:rPr>
        <w:br/>
      </w:r>
      <w:r w:rsidRPr="004E300B">
        <w:rPr>
          <w:color w:val="212529"/>
        </w:rPr>
        <w:lastRenderedPageBreak/>
        <w:t>previstos en las normas contempladas en el Código de Comercio para las</w:t>
      </w:r>
      <w:r w:rsidRPr="004E300B">
        <w:rPr>
          <w:color w:val="212529"/>
        </w:rPr>
        <w:br/>
        <w:t>sociedades anónimas, limitando el plazo para su pago que no deberá exceder de</w:t>
      </w:r>
      <w:r w:rsidRPr="004E300B">
        <w:rPr>
          <w:color w:val="212529"/>
        </w:rPr>
        <w:br/>
        <w:t>los 2 años.</w:t>
      </w:r>
    </w:p>
    <w:p w14:paraId="4F133F80" w14:textId="02CBFCA2" w:rsidR="004E300B" w:rsidRPr="004E300B" w:rsidRDefault="004E300B" w:rsidP="004E300B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4E300B">
        <w:rPr>
          <w:color w:val="212529"/>
        </w:rPr>
        <w:t>Por lo anterior, es claro que la regla en la extensión sobre el pago del aporte</w:t>
      </w:r>
      <w:r w:rsidRPr="004E300B">
        <w:rPr>
          <w:color w:val="212529"/>
        </w:rPr>
        <w:br/>
        <w:t xml:space="preserve">hecho como crédito, en </w:t>
      </w:r>
      <w:proofErr w:type="gramStart"/>
      <w:r w:rsidRPr="004E300B">
        <w:rPr>
          <w:color w:val="212529"/>
        </w:rPr>
        <w:t>éste</w:t>
      </w:r>
      <w:proofErr w:type="gramEnd"/>
      <w:r w:rsidRPr="004E300B">
        <w:rPr>
          <w:color w:val="212529"/>
        </w:rPr>
        <w:t xml:space="preserve"> caso para las sociedades por acciones simplificadas</w:t>
      </w:r>
      <w:r w:rsidRPr="004E300B">
        <w:rPr>
          <w:color w:val="212529"/>
        </w:rPr>
        <w:br/>
        <w:t>es mucho más flexible y puede extenderse hasta por 2 años, sin que éste plazo se</w:t>
      </w:r>
      <w:r w:rsidRPr="004E300B">
        <w:rPr>
          <w:color w:val="212529"/>
        </w:rPr>
        <w:br/>
        <w:t>pueda ampliar, debido a que la Ley 1258 de 2008, de manera categórica estipula</w:t>
      </w:r>
      <w:r w:rsidRPr="004E300B">
        <w:rPr>
          <w:color w:val="212529"/>
        </w:rPr>
        <w:br/>
        <w:t>dicha limitación.</w:t>
      </w:r>
    </w:p>
    <w:p w14:paraId="028985EC" w14:textId="41387474" w:rsidR="004E300B" w:rsidRPr="004E300B" w:rsidRDefault="004E300B" w:rsidP="004E300B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4E300B">
        <w:rPr>
          <w:color w:val="212529"/>
        </w:rPr>
        <w:t>Por otro lado, también se puede evidenciar que la norma no establece que tipo de</w:t>
      </w:r>
      <w:r w:rsidRPr="004E300B">
        <w:rPr>
          <w:color w:val="212529"/>
        </w:rPr>
        <w:br/>
        <w:t>crédito es el que se puede aportar a la sociedad, por lo que referido a la</w:t>
      </w:r>
      <w:r w:rsidRPr="004E300B">
        <w:rPr>
          <w:color w:val="212529"/>
        </w:rPr>
        <w:br/>
        <w:t>legitimidad del título, según lo dispone el inciso segundo del artículo 129 del</w:t>
      </w:r>
      <w:r w:rsidRPr="004E300B">
        <w:rPr>
          <w:color w:val="212529"/>
        </w:rPr>
        <w:br/>
        <w:t>Código de Comercio, la legitimidad corresponde a quien tenga la capacidad de</w:t>
      </w:r>
      <w:r w:rsidRPr="004E300B">
        <w:rPr>
          <w:color w:val="212529"/>
        </w:rPr>
        <w:br/>
        <w:t>disponer del derecho que se tiene sobre el crédito.</w:t>
      </w:r>
    </w:p>
    <w:p w14:paraId="5C419A0D" w14:textId="5F51A417" w:rsidR="004E300B" w:rsidRPr="004E300B" w:rsidRDefault="004E300B" w:rsidP="004E300B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4E300B">
        <w:rPr>
          <w:color w:val="212529"/>
        </w:rPr>
        <w:t>Igualmente, esta entidad indicó en su momento lo siguiente: ¨la deuda</w:t>
      </w:r>
      <w:r w:rsidRPr="004E300B">
        <w:rPr>
          <w:color w:val="212529"/>
        </w:rPr>
        <w:br/>
        <w:t>subordinada es toda obligación cuyo cumplimiento está sujeto o condicionado a la</w:t>
      </w:r>
      <w:r w:rsidRPr="004E300B">
        <w:rPr>
          <w:color w:val="212529"/>
        </w:rPr>
        <w:br/>
        <w:t>cancelación de otras obligaciones.(…)¨2, por lo cual, es claro que se puede hacer</w:t>
      </w:r>
      <w:r w:rsidRPr="004E300B">
        <w:rPr>
          <w:color w:val="212529"/>
        </w:rPr>
        <w:br/>
        <w:t>toda clase de aportación de créditos, siempre y cuando se cumpla con las</w:t>
      </w:r>
      <w:r w:rsidRPr="004E300B">
        <w:rPr>
          <w:color w:val="212529"/>
        </w:rPr>
        <w:br/>
        <w:t>disposiciones legales en materia, tanto las determinadas en el artículo 129 del</w:t>
      </w:r>
      <w:r w:rsidRPr="004E300B">
        <w:rPr>
          <w:color w:val="212529"/>
        </w:rPr>
        <w:br/>
        <w:t>Código de Comercio, como las señaladas para las sociedades por acciones</w:t>
      </w:r>
      <w:r w:rsidRPr="004E300B">
        <w:rPr>
          <w:color w:val="212529"/>
        </w:rPr>
        <w:br/>
        <w:t>simplificadas, en la ley 1258 de 2008.</w:t>
      </w:r>
    </w:p>
    <w:p w14:paraId="68D88B22" w14:textId="1A79C1AE" w:rsidR="004E300B" w:rsidRPr="004E300B" w:rsidRDefault="004E300B" w:rsidP="004E300B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4E300B">
        <w:rPr>
          <w:color w:val="212529"/>
        </w:rPr>
        <w:t>2 Superintendencia de Sociedades. Oficio No 220-13294 (1 de julio de 1994). Asunto: Las deudas subordinadas pueden ser</w:t>
      </w:r>
      <w:r>
        <w:rPr>
          <w:color w:val="212529"/>
        </w:rPr>
        <w:t xml:space="preserve"> </w:t>
      </w:r>
      <w:r w:rsidRPr="004E300B">
        <w:rPr>
          <w:color w:val="212529"/>
        </w:rPr>
        <w:t>objeto de aporte. En Doctrinas y Conceptos Jurídicos de 1995. 103 p. Tomado el: 3 de enero de 2018. Disponible en: https://www.supersociedades.gov.co/doctrina-jurisprudencia/DoctrinaSupersociedades/Libros/Doctrinas_y_conceptos_juridicos_1995.pdf</w:t>
      </w:r>
    </w:p>
    <w:p w14:paraId="043407EB" w14:textId="66DEBB49" w:rsidR="004E300B" w:rsidRPr="004E300B" w:rsidRDefault="004E300B" w:rsidP="004E300B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4E300B">
        <w:rPr>
          <w:color w:val="212529"/>
        </w:rPr>
        <w:t xml:space="preserve">Por </w:t>
      </w:r>
      <w:proofErr w:type="gramStart"/>
      <w:r w:rsidRPr="004E300B">
        <w:rPr>
          <w:color w:val="212529"/>
        </w:rPr>
        <w:t>último</w:t>
      </w:r>
      <w:proofErr w:type="gramEnd"/>
      <w:r w:rsidRPr="004E300B">
        <w:rPr>
          <w:color w:val="212529"/>
        </w:rPr>
        <w:t xml:space="preserve"> se resalta lo indicado por la entidad en varias oportunidades frente a los</w:t>
      </w:r>
      <w:r w:rsidRPr="004E300B">
        <w:rPr>
          <w:color w:val="212529"/>
        </w:rPr>
        <w:br/>
        <w:t>aportes en las sociedades por acciones simplificadas:</w:t>
      </w:r>
    </w:p>
    <w:p w14:paraId="0927828F" w14:textId="39FA72EC" w:rsidR="004E300B" w:rsidRPr="004E300B" w:rsidRDefault="004E300B" w:rsidP="004E300B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proofErr w:type="gramStart"/>
      <w:r w:rsidRPr="004E300B">
        <w:rPr>
          <w:color w:val="212529"/>
        </w:rPr>
        <w:t>¨(</w:t>
      </w:r>
      <w:proofErr w:type="gramEnd"/>
      <w:r w:rsidRPr="004E300B">
        <w:rPr>
          <w:color w:val="212529"/>
        </w:rPr>
        <w:t>…) En cuanto a los aportes de los socios, se tiene que aun cuando la Ley</w:t>
      </w:r>
      <w:r w:rsidRPr="004E300B">
        <w:rPr>
          <w:color w:val="212529"/>
        </w:rPr>
        <w:br/>
        <w:t>de SAS guarda silencio sobre este aspecto, las normas contenidas en los</w:t>
      </w:r>
      <w:r w:rsidRPr="004E300B">
        <w:rPr>
          <w:color w:val="212529"/>
        </w:rPr>
        <w:br/>
        <w:t>artículos 125 y siguientes del Código de Comercio contemplan en forma</w:t>
      </w:r>
      <w:r w:rsidRPr="004E300B">
        <w:rPr>
          <w:color w:val="212529"/>
        </w:rPr>
        <w:br/>
        <w:t>general, las clases de aportes al capital de una sociedad, tales como, los</w:t>
      </w:r>
      <w:r w:rsidRPr="004E300B">
        <w:rPr>
          <w:color w:val="212529"/>
        </w:rPr>
        <w:br/>
        <w:t>aportes en especie y sus reglas, aporte de crédito, avalúos de aportes en</w:t>
      </w:r>
      <w:r w:rsidRPr="004E300B">
        <w:rPr>
          <w:color w:val="212529"/>
        </w:rPr>
        <w:br/>
        <w:t>especie, responsabilidad y obligaciones. De ahí que en efecto, los aportes</w:t>
      </w:r>
      <w:r w:rsidRPr="004E300B">
        <w:rPr>
          <w:color w:val="212529"/>
        </w:rPr>
        <w:br/>
        <w:t>son susceptibles de hacerse en bienes diferentes al dinero, advirtiendo que</w:t>
      </w:r>
      <w:r w:rsidRPr="004E300B">
        <w:rPr>
          <w:color w:val="212529"/>
        </w:rPr>
        <w:br/>
        <w:t>los aportes en especie, son bienes corporales o incorporales, que no se</w:t>
      </w:r>
      <w:r w:rsidRPr="004E300B">
        <w:rPr>
          <w:color w:val="212529"/>
        </w:rPr>
        <w:br/>
        <w:t>encuentren fuera del comercio, y representan un valor económico, por</w:t>
      </w:r>
      <w:r w:rsidRPr="004E300B">
        <w:rPr>
          <w:color w:val="212529"/>
        </w:rPr>
        <w:br/>
        <w:t>ejemplo: Cuotas o acciones, partes de interés, enseres, maquinarias,</w:t>
      </w:r>
      <w:r w:rsidRPr="004E300B">
        <w:rPr>
          <w:color w:val="212529"/>
        </w:rPr>
        <w:br/>
        <w:t>inmuebles, créditos quirografarios o con garantía real, establecimientos de</w:t>
      </w:r>
      <w:r w:rsidRPr="004E300B">
        <w:rPr>
          <w:color w:val="212529"/>
        </w:rPr>
        <w:br/>
        <w:t xml:space="preserve">comercio, </w:t>
      </w:r>
      <w:proofErr w:type="gramStart"/>
      <w:r w:rsidRPr="004E300B">
        <w:rPr>
          <w:color w:val="212529"/>
        </w:rPr>
        <w:t>etc..</w:t>
      </w:r>
      <w:proofErr w:type="gramEnd"/>
      <w:r w:rsidRPr="004E300B">
        <w:rPr>
          <w:color w:val="212529"/>
        </w:rPr>
        <w:t xml:space="preserve"> Según el artículo 126 ibidem, los aportes en especie podrán</w:t>
      </w:r>
      <w:r w:rsidRPr="004E300B">
        <w:rPr>
          <w:color w:val="212529"/>
        </w:rPr>
        <w:br/>
        <w:t>hacerse por el género y cantidad de las cosas que hayan de llevarse al</w:t>
      </w:r>
      <w:r w:rsidRPr="004E300B">
        <w:rPr>
          <w:color w:val="212529"/>
        </w:rPr>
        <w:br/>
        <w:t>fondo social, pero siempre estimadas en un valor determinado, amén de lo</w:t>
      </w:r>
      <w:r w:rsidRPr="004E300B">
        <w:rPr>
          <w:color w:val="212529"/>
        </w:rPr>
        <w:br/>
        <w:t>previsto en el artículo 132 Cód. Cit., en lo que hace relación a la estimación</w:t>
      </w:r>
      <w:r w:rsidRPr="004E300B">
        <w:rPr>
          <w:color w:val="212529"/>
        </w:rPr>
        <w:br/>
        <w:t>unánime del valor del bien por parte de todos los futuros accionistas</w:t>
      </w:r>
      <w:r w:rsidRPr="004E300B">
        <w:rPr>
          <w:color w:val="212529"/>
        </w:rPr>
        <w:br/>
        <w:t>reunidos en junta preliminar, sin que proceda la aprobación por parte de</w:t>
      </w:r>
      <w:r w:rsidRPr="004E300B">
        <w:rPr>
          <w:color w:val="212529"/>
        </w:rPr>
        <w:br/>
        <w:t>esta Superintendencia, toda vez que sólo conserva la facultad para aprobar</w:t>
      </w:r>
      <w:r w:rsidRPr="004E300B">
        <w:rPr>
          <w:color w:val="212529"/>
        </w:rPr>
        <w:br/>
        <w:t>avalúos respecto de las sociedades sometidas a control (Artículo 85 de la</w:t>
      </w:r>
      <w:r w:rsidRPr="004E300B">
        <w:rPr>
          <w:color w:val="212529"/>
        </w:rPr>
        <w:br/>
        <w:t>Ley 222 de 1995).(…)¨3.</w:t>
      </w:r>
    </w:p>
    <w:p w14:paraId="5E06D1AF" w14:textId="1EA3EA4F" w:rsidR="004E300B" w:rsidRPr="004E300B" w:rsidRDefault="004E300B" w:rsidP="004E300B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4E300B">
        <w:rPr>
          <w:color w:val="212529"/>
        </w:rPr>
        <w:t>De conformidad con lo expuesto, se responde de manera cabal la consulta,</w:t>
      </w:r>
      <w:r w:rsidRPr="004E300B">
        <w:rPr>
          <w:color w:val="212529"/>
        </w:rPr>
        <w:br/>
        <w:t>teniendo como base fundamental los conceptos reiterados en cada ítem particular,</w:t>
      </w:r>
      <w:r w:rsidRPr="004E300B">
        <w:rPr>
          <w:color w:val="212529"/>
        </w:rPr>
        <w:br/>
        <w:t>no sin antes reiterar que los efectos del presente pronunciamiento son los</w:t>
      </w:r>
      <w:r w:rsidRPr="004E300B">
        <w:rPr>
          <w:color w:val="212529"/>
        </w:rPr>
        <w:br/>
        <w:t>descritos en el artículo 28 la Ley 1755 de 2015 y que en la Página WEB de ésta</w:t>
      </w:r>
      <w:r w:rsidRPr="004E300B">
        <w:rPr>
          <w:color w:val="212529"/>
        </w:rPr>
        <w:br/>
        <w:t>entidad puede consultar directamente la normatividad, los conceptos que la misma</w:t>
      </w:r>
      <w:r w:rsidRPr="004E300B">
        <w:rPr>
          <w:color w:val="212529"/>
        </w:rPr>
        <w:br/>
      </w:r>
      <w:r w:rsidRPr="004E300B">
        <w:rPr>
          <w:color w:val="212529"/>
        </w:rPr>
        <w:lastRenderedPageBreak/>
        <w:t>emite sobre las materias de su competencia y la Circular Básica Jurídica, entre</w:t>
      </w:r>
      <w:r w:rsidRPr="004E300B">
        <w:rPr>
          <w:color w:val="212529"/>
        </w:rPr>
        <w:br/>
        <w:t>otros.</w:t>
      </w:r>
    </w:p>
    <w:p w14:paraId="603BBCB0" w14:textId="77777777" w:rsidR="004E300B" w:rsidRDefault="004E300B" w:rsidP="004E300B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4E300B">
        <w:rPr>
          <w:color w:val="212529"/>
        </w:rPr>
        <w:t>3 Superintendencia de Sociedades. Oficio No 220-284146 (14 de diciembre de 2017). Asunto: reglas sobre aportes al</w:t>
      </w:r>
      <w:r>
        <w:rPr>
          <w:color w:val="212529"/>
        </w:rPr>
        <w:t xml:space="preserve"> </w:t>
      </w:r>
      <w:r w:rsidRPr="004E300B">
        <w:rPr>
          <w:color w:val="212529"/>
        </w:rPr>
        <w:t>capital en la sociedad por acciones simplificada. Tomado el: 3 de enero de 2018. Disponible en:</w:t>
      </w:r>
    </w:p>
    <w:p w14:paraId="1428C1BF" w14:textId="70856C3B" w:rsidR="004E300B" w:rsidRPr="004E300B" w:rsidRDefault="004E300B" w:rsidP="004E300B">
      <w:pPr>
        <w:pStyle w:val="NormalWeb"/>
        <w:shd w:val="clear" w:color="auto" w:fill="FFFFFF"/>
        <w:spacing w:before="0" w:beforeAutospacing="0"/>
        <w:jc w:val="both"/>
        <w:rPr>
          <w:b/>
          <w:bCs/>
        </w:rPr>
      </w:pPr>
      <w:hyperlink r:id="rId4" w:history="1">
        <w:r w:rsidRPr="004E300B">
          <w:rPr>
            <w:rStyle w:val="Hipervnculo"/>
            <w:b/>
            <w:bCs/>
            <w:color w:val="auto"/>
          </w:rPr>
          <w:t>https://www.supersociedades.gov.co/nuestra_entidad/normatividad/normatividad_conceptos_juridicos/OFICIO%20220-</w:t>
        </w:r>
      </w:hyperlink>
      <w:r w:rsidRPr="004E300B">
        <w:rPr>
          <w:b/>
          <w:bCs/>
        </w:rPr>
        <w:t xml:space="preserve"> </w:t>
      </w:r>
      <w:r w:rsidRPr="004E300B">
        <w:rPr>
          <w:b/>
          <w:bCs/>
        </w:rPr>
        <w:t>284146.pdf</w:t>
      </w:r>
    </w:p>
    <w:p w14:paraId="7A9D7375" w14:textId="2A9B6A9C" w:rsidR="004E300B" w:rsidRPr="004E300B" w:rsidRDefault="004E300B" w:rsidP="004E300B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4E300B">
        <w:rPr>
          <w:color w:val="212529"/>
        </w:rPr>
        <w:t> </w:t>
      </w:r>
      <w:r>
        <w:rPr>
          <w:color w:val="212529"/>
        </w:rPr>
        <w:t>_____________________________________________________________________________</w:t>
      </w:r>
    </w:p>
    <w:p w14:paraId="35133920" w14:textId="77777777" w:rsidR="007F5CC8" w:rsidRPr="004E300B" w:rsidRDefault="007F5CC8" w:rsidP="004E300B">
      <w:pPr>
        <w:rPr>
          <w:rFonts w:cs="Times New Roman"/>
          <w:szCs w:val="24"/>
        </w:rPr>
      </w:pPr>
    </w:p>
    <w:sectPr w:rsidR="007F5CC8" w:rsidRPr="004E300B" w:rsidSect="00434AE6">
      <w:type w:val="continuous"/>
      <w:pgSz w:w="12191" w:h="18711"/>
      <w:pgMar w:top="1134" w:right="1134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0B"/>
    <w:rsid w:val="001E311E"/>
    <w:rsid w:val="00434AE6"/>
    <w:rsid w:val="004E300B"/>
    <w:rsid w:val="007F5CC8"/>
    <w:rsid w:val="0087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3AD7"/>
  <w15:chartTrackingRefBased/>
  <w15:docId w15:val="{1ACCD68B-8A9F-48EF-8999-21C6D944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300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E300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3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upersociedades.gov.co/nuestra_entidad/normatividad/normatividad_conceptos_juridicos/OFICIO%20220-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1176</Words>
  <Characters>6471</Characters>
  <Application>Microsoft Office Word</Application>
  <DocSecurity>0</DocSecurity>
  <Lines>53</Lines>
  <Paragraphs>15</Paragraphs>
  <ScaleCrop>false</ScaleCrop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CNETCO</dc:creator>
  <cp:keywords/>
  <dc:description/>
  <cp:lastModifiedBy>CNETCO</cp:lastModifiedBy>
  <cp:revision>1</cp:revision>
  <dcterms:created xsi:type="dcterms:W3CDTF">2020-04-26T21:50:00Z</dcterms:created>
  <dcterms:modified xsi:type="dcterms:W3CDTF">2020-04-26T22:00:00Z</dcterms:modified>
</cp:coreProperties>
</file>