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3B" w:rsidRPr="00585D3B" w:rsidRDefault="00585D3B" w:rsidP="00585D3B">
      <w:pPr>
        <w:spacing w:after="0" w:line="240" w:lineRule="auto"/>
        <w:jc w:val="center"/>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OFICIO N° 060032</w:t>
      </w:r>
    </w:p>
    <w:p w:rsidR="00585D3B" w:rsidRPr="00585D3B" w:rsidRDefault="00585D3B" w:rsidP="00585D3B">
      <w:pPr>
        <w:spacing w:after="0" w:line="240" w:lineRule="auto"/>
        <w:jc w:val="center"/>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23-09-2013</w:t>
      </w:r>
    </w:p>
    <w:p w:rsidR="00585D3B" w:rsidRPr="00585D3B" w:rsidRDefault="00585D3B" w:rsidP="00585D3B">
      <w:pPr>
        <w:spacing w:after="0" w:line="240" w:lineRule="auto"/>
        <w:jc w:val="center"/>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DIAN</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Señor</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GUILLERMO LEÓN TREJO PÉREZ</w:t>
      </w:r>
    </w:p>
    <w:p w:rsidR="00585D3B" w:rsidRPr="00585D3B" w:rsidRDefault="006C6045" w:rsidP="00585D3B">
      <w:pPr>
        <w:spacing w:after="0" w:line="240" w:lineRule="auto"/>
        <w:jc w:val="both"/>
        <w:rPr>
          <w:rFonts w:ascii="Times New Roman" w:eastAsia="Times New Roman" w:hAnsi="Times New Roman" w:cs="Times New Roman"/>
          <w:sz w:val="24"/>
          <w:szCs w:val="24"/>
          <w:lang w:eastAsia="es-CO"/>
        </w:rPr>
      </w:pPr>
      <w:hyperlink r:id="rId5" w:history="1">
        <w:r w:rsidR="00585D3B" w:rsidRPr="00585D3B">
          <w:rPr>
            <w:rFonts w:ascii="Times New Roman" w:eastAsia="Times New Roman" w:hAnsi="Times New Roman" w:cs="Times New Roman"/>
            <w:sz w:val="24"/>
            <w:szCs w:val="24"/>
            <w:lang w:val="es-MX" w:eastAsia="es-CO"/>
          </w:rPr>
          <w:t>guilletre01@hotmail.com</w:t>
        </w:r>
      </w:hyperlink>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E-Mail</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proofErr w:type="spellStart"/>
      <w:r w:rsidRPr="00585D3B">
        <w:rPr>
          <w:rFonts w:ascii="Times New Roman" w:eastAsia="Times New Roman" w:hAnsi="Times New Roman" w:cs="Times New Roman"/>
          <w:b/>
          <w:bCs/>
          <w:sz w:val="24"/>
          <w:szCs w:val="24"/>
          <w:lang w:val="es-MX" w:eastAsia="es-CO"/>
        </w:rPr>
        <w:t>Ref</w:t>
      </w:r>
      <w:proofErr w:type="spellEnd"/>
      <w:r w:rsidRPr="00585D3B">
        <w:rPr>
          <w:rFonts w:ascii="Times New Roman" w:eastAsia="Times New Roman" w:hAnsi="Times New Roman" w:cs="Times New Roman"/>
          <w:b/>
          <w:bCs/>
          <w:sz w:val="24"/>
          <w:szCs w:val="24"/>
          <w:lang w:val="es-MX" w:eastAsia="es-CO"/>
        </w:rPr>
        <w:t>: </w:t>
      </w:r>
      <w:r w:rsidRPr="00585D3B">
        <w:rPr>
          <w:rFonts w:ascii="Times New Roman" w:eastAsia="Times New Roman" w:hAnsi="Times New Roman" w:cs="Times New Roman"/>
          <w:sz w:val="24"/>
          <w:szCs w:val="24"/>
          <w:lang w:val="es-MX" w:eastAsia="es-CO"/>
        </w:rPr>
        <w:t>Radicado 0891 del 27/06/2013</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Tema </w:t>
      </w:r>
      <w:r w:rsidRPr="00585D3B">
        <w:rPr>
          <w:rFonts w:ascii="Times New Roman" w:eastAsia="Times New Roman" w:hAnsi="Times New Roman" w:cs="Times New Roman"/>
          <w:sz w:val="24"/>
          <w:szCs w:val="24"/>
          <w:lang w:val="es-MX" w:eastAsia="es-CO"/>
        </w:rPr>
        <w:t>Retención en la Fuente</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Descriptores </w:t>
      </w:r>
      <w:r w:rsidRPr="00585D3B">
        <w:rPr>
          <w:rFonts w:ascii="Times New Roman" w:eastAsia="Times New Roman" w:hAnsi="Times New Roman" w:cs="Times New Roman"/>
          <w:sz w:val="24"/>
          <w:szCs w:val="24"/>
          <w:lang w:val="es-MX" w:eastAsia="es-CO"/>
        </w:rPr>
        <w:t>Retención en la fuente por rentas de trabajo</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Fuentes Formales</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Estatuto Tributario, </w:t>
      </w:r>
      <w:hyperlink r:id="rId6" w:tooltip="Estatuto Tributario CETA" w:history="1">
        <w:r w:rsidRPr="00585D3B">
          <w:rPr>
            <w:rFonts w:ascii="Times New Roman" w:eastAsia="Times New Roman" w:hAnsi="Times New Roman" w:cs="Times New Roman"/>
            <w:sz w:val="24"/>
            <w:szCs w:val="24"/>
            <w:lang w:val="es-MX" w:eastAsia="es-CO"/>
          </w:rPr>
          <w:t>art. 108</w:t>
        </w:r>
      </w:hyperlink>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Ley 1393 de 2010, art. 26</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Decreto Reglamentario 1406 de 1999, art. 16</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Decreto Reglamentario 1703 de 2002, art. 23</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Decreto Reglamentario 1070 de 2013, art. 3°</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Cordial saludo, señor Trejo.</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De conformidad con el artículo 19 del Decreto 4048 de 2008 y la Orden Administrativa 000006 de 2009, este despacho está facultado para absolver las consultas escritas que se formulen sobre la interpretación y aplicación de las normas tributarias, aduaneras o de comercio exterior y control cambiario en lo de competencia de la Dirección de Impuestos y Aduanas Nacionales.</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b/>
          <w:sz w:val="24"/>
          <w:szCs w:val="24"/>
          <w:lang w:eastAsia="es-CO"/>
        </w:rPr>
      </w:pPr>
      <w:r w:rsidRPr="00585D3B">
        <w:rPr>
          <w:rFonts w:ascii="Times New Roman" w:eastAsia="Times New Roman" w:hAnsi="Times New Roman" w:cs="Times New Roman"/>
          <w:b/>
          <w:sz w:val="24"/>
          <w:szCs w:val="24"/>
          <w:lang w:val="es-MX" w:eastAsia="es-CO"/>
        </w:rPr>
        <w:t>Consulta con fundamento en el artículo 3° del Decreto 1070 de 2013, si para tener derecho a su deducción, el pago realizado a una persona natural que presta servicios de transporte de carga con su propio vehículo está sujeto a soportarse con la “planilla de pago de seguridad social</w:t>
      </w:r>
      <w:proofErr w:type="gramStart"/>
      <w:r w:rsidRPr="00585D3B">
        <w:rPr>
          <w:rFonts w:ascii="Times New Roman" w:eastAsia="Times New Roman" w:hAnsi="Times New Roman" w:cs="Times New Roman"/>
          <w:b/>
          <w:sz w:val="24"/>
          <w:szCs w:val="24"/>
          <w:lang w:val="es-MX" w:eastAsia="es-CO"/>
        </w:rPr>
        <w:t>?</w:t>
      </w:r>
      <w:proofErr w:type="gramEnd"/>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La Ley 1393 de 2010, en sus artículos 26 y 27 establece lo siguiente:</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i/>
          <w:iCs/>
          <w:sz w:val="24"/>
          <w:szCs w:val="24"/>
          <w:lang w:val="es-MX" w:eastAsia="es-CO"/>
        </w:rPr>
        <w:t>“Artículo 26. </w:t>
      </w:r>
      <w:r w:rsidRPr="00585D3B">
        <w:rPr>
          <w:rFonts w:ascii="Times New Roman" w:eastAsia="Times New Roman" w:hAnsi="Times New Roman" w:cs="Times New Roman"/>
          <w:i/>
          <w:iCs/>
          <w:sz w:val="24"/>
          <w:szCs w:val="24"/>
          <w:lang w:val="es-MX" w:eastAsia="es-CO"/>
        </w:rPr>
        <w:t>La celebración y cumplimiento de las obligaciones derivadas de contratos de prestación de servicios estará condicionada a la verificación por parte del contratante de la afiliación y pago de los aportes al sistema de protección social, conforme a la reglamentación que para tal efecto expida el Gobierno Nacional.</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El Gobierno Nacional podrá adoptar mecanismos de retención para el cumplimiento de estas obligaciones, así como de devolución de saldos a favor.</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i/>
          <w:iCs/>
          <w:sz w:val="24"/>
          <w:szCs w:val="24"/>
          <w:lang w:val="es-MX" w:eastAsia="es-CO"/>
        </w:rPr>
        <w:lastRenderedPageBreak/>
        <w:t>Artículo 27. </w:t>
      </w:r>
      <w:r w:rsidRPr="00585D3B">
        <w:rPr>
          <w:rFonts w:ascii="Times New Roman" w:eastAsia="Times New Roman" w:hAnsi="Times New Roman" w:cs="Times New Roman"/>
          <w:i/>
          <w:iCs/>
          <w:sz w:val="24"/>
          <w:szCs w:val="24"/>
          <w:lang w:val="es-MX" w:eastAsia="es-CO"/>
        </w:rPr>
        <w:t>Adiciónese el </w:t>
      </w:r>
      <w:hyperlink r:id="rId7" w:tooltip="Estatuto Tributario CETA" w:history="1">
        <w:r w:rsidRPr="00585D3B">
          <w:rPr>
            <w:rFonts w:ascii="Times New Roman" w:eastAsia="Times New Roman" w:hAnsi="Times New Roman" w:cs="Times New Roman"/>
            <w:i/>
            <w:iCs/>
            <w:sz w:val="24"/>
            <w:szCs w:val="24"/>
            <w:lang w:val="es-MX" w:eastAsia="es-CO"/>
          </w:rPr>
          <w:t>artículo 108</w:t>
        </w:r>
      </w:hyperlink>
      <w:r w:rsidRPr="00585D3B">
        <w:rPr>
          <w:rFonts w:ascii="Times New Roman" w:eastAsia="Times New Roman" w:hAnsi="Times New Roman" w:cs="Times New Roman"/>
          <w:i/>
          <w:iCs/>
          <w:sz w:val="24"/>
          <w:szCs w:val="24"/>
          <w:lang w:val="es-MX" w:eastAsia="es-CO"/>
        </w:rPr>
        <w:t> del Estatuto Tributario con el siguiente parágrafo:</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i/>
          <w:iCs/>
          <w:sz w:val="24"/>
          <w:szCs w:val="24"/>
          <w:lang w:val="es-MX" w:eastAsia="es-CO"/>
        </w:rPr>
        <w:t>“Parágrafo 2°. </w:t>
      </w:r>
      <w:r w:rsidRPr="00585D3B">
        <w:rPr>
          <w:rFonts w:ascii="Times New Roman" w:eastAsia="Times New Roman" w:hAnsi="Times New Roman" w:cs="Times New Roman"/>
          <w:i/>
          <w:iCs/>
          <w:sz w:val="24"/>
          <w:szCs w:val="24"/>
          <w:lang w:val="es-MX" w:eastAsia="es-CO"/>
        </w:rPr>
        <w:t>Para efectos de la deducción por salarios de que trata el presente artículo se entenderá que tales aportes parafiscales deben efectuarse de acuerdo con lo establecido en las normas vigentes. Igualmente, para la procedencia de la deducción por pagos a trabajadores independientes, el contratante deberá verificar la afiliación y el pago de las cotizaciones y aportes a la protección social que le corresponden al contratista según la ley, de acuerdo con el reglamento que se expida por el Gobierno Nacional. Lo anterior aplicará igualmente para el cumplimiento de la obligación de retener cuando esta proceda”.</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A su turno, el artículo 3° del Decreto Reglamentario 1070 de 2013, señala:</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i/>
          <w:iCs/>
          <w:sz w:val="24"/>
          <w:szCs w:val="24"/>
          <w:lang w:val="es-MX" w:eastAsia="es-CO"/>
        </w:rPr>
        <w:t>“Artículo 3°. Contribuciones al Sistema General de Seguridad Social. </w:t>
      </w:r>
      <w:r w:rsidRPr="00585D3B">
        <w:rPr>
          <w:rFonts w:ascii="Times New Roman" w:eastAsia="Times New Roman" w:hAnsi="Times New Roman" w:cs="Times New Roman"/>
          <w:i/>
          <w:iCs/>
          <w:sz w:val="24"/>
          <w:szCs w:val="24"/>
          <w:lang w:val="es-MX" w:eastAsia="es-CO"/>
        </w:rPr>
        <w:t>De acuerdo con lo previsto en el artículo 26 de la Ley 1393 de 2010 y el </w:t>
      </w:r>
      <w:hyperlink r:id="rId8" w:tooltip="Estatuto Tributario CETA" w:history="1">
        <w:r w:rsidRPr="00585D3B">
          <w:rPr>
            <w:rFonts w:ascii="Times New Roman" w:eastAsia="Times New Roman" w:hAnsi="Times New Roman" w:cs="Times New Roman"/>
            <w:i/>
            <w:iCs/>
            <w:sz w:val="24"/>
            <w:szCs w:val="24"/>
            <w:lang w:val="es-MX" w:eastAsia="es-CO"/>
          </w:rPr>
          <w:t>artículo 108</w:t>
        </w:r>
      </w:hyperlink>
      <w:r w:rsidRPr="00585D3B">
        <w:rPr>
          <w:rFonts w:ascii="Times New Roman" w:eastAsia="Times New Roman" w:hAnsi="Times New Roman" w:cs="Times New Roman"/>
          <w:i/>
          <w:iCs/>
          <w:sz w:val="24"/>
          <w:szCs w:val="24"/>
          <w:lang w:val="es-MX" w:eastAsia="es-CO"/>
        </w:rPr>
        <w:t> del Estatuto Tributario, la disminución de la base de retención para las personas naturales residentes cuyos ingresos no provengan de una relación laboral, o legal y reglamentaria, por concepto de contribuciones al Sistema General de Seguridad Social, pertenezcan o no a la categoría de empleados, estará condicionada a su pago en debida forma, para lo cual se adjuntará a la respectiva factura o documento equivalente copia de la planilla o documento de pago.</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Para la procedencia de la deducción en el impuesto sobre la renta de los pagos realizados a las personas mencionadas en el inciso anterior, el contratante deberá verificar que el pago de dichas contribuciones al Sistema General de Seguridad Social esté realizado en debida forma, en relación con los ingresos obtenidos por los pagos relacionados con el contrato respectivo, en los términos del artículo 18 de la Ley 1122 de 2007, aquellas disposiciones que la adicionen, modifiquen o sustituyan, y demás normas aplicables en la materia.”</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En consonancia con las disposiciones anteriores, el Decreto 1406 de 1999 por el cual se reglamenta la Ley 100 de 1993, dispone en su artículo 16 “Clases de aportantes” que para efectos de dicho decreto, los aportantes del Sistema de Seguridad Social Integral serán de tres (3) clases: a) Grandes Aportantes, b) Pequeños Aportantes y c) Trabajadores Independientes. Según la misma norma, se clasifica como trabajador independiente a aquel que no se encuentre vinculado laboralmente a un empleador, mediante contrato de trabajo o a través de una relación legal y reglamentaria.</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Por su parte, el inciso primero del artículo 23 del Decreto 1703 de 2002, reglamentario de la Ley 100 de 1993, establece:</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 </w:t>
      </w:r>
    </w:p>
    <w:p w:rsidR="00585D3B" w:rsidRPr="00585D3B" w:rsidRDefault="00585D3B" w:rsidP="00585D3B">
      <w:pPr>
        <w:spacing w:after="0" w:line="240" w:lineRule="auto"/>
        <w:ind w:left="284"/>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i/>
          <w:iCs/>
          <w:sz w:val="24"/>
          <w:szCs w:val="24"/>
          <w:lang w:val="es-MX" w:eastAsia="es-CO"/>
        </w:rPr>
        <w:t>“Artículo 23. Cotizaciones en contratación no laboral. </w:t>
      </w:r>
      <w:r w:rsidRPr="00585D3B">
        <w:rPr>
          <w:rFonts w:ascii="Times New Roman" w:eastAsia="Times New Roman" w:hAnsi="Times New Roman" w:cs="Times New Roman"/>
          <w:i/>
          <w:iCs/>
          <w:sz w:val="24"/>
          <w:szCs w:val="24"/>
          <w:lang w:val="es-MX" w:eastAsia="es-CO"/>
        </w:rPr>
        <w:t xml:space="preserve">Para efectos de lo establecido en el artículo 271 de la Ley 100 de 1993, en los contratos en donde esté involucrada la ejecución de un servicio por una persona natural en favor de una persona natural o jurídica de derecho público o privado, tales como contratos de obra, de arrendamiento de servicios, de prestación de servicios, consultoría, asesoría y cuya duración sea </w:t>
      </w:r>
      <w:r w:rsidRPr="00585D3B">
        <w:rPr>
          <w:rFonts w:ascii="Times New Roman" w:eastAsia="Times New Roman" w:hAnsi="Times New Roman" w:cs="Times New Roman"/>
          <w:i/>
          <w:iCs/>
          <w:sz w:val="24"/>
          <w:szCs w:val="24"/>
          <w:lang w:val="es-MX" w:eastAsia="es-CO"/>
        </w:rPr>
        <w:lastRenderedPageBreak/>
        <w:t>superior a tres (3) meses, la parte contratante deberá verificar la afiliación y pago de aportes al Sistema General de Seguridad Social en Salud.”</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i/>
          <w:iCs/>
          <w:sz w:val="24"/>
          <w:szCs w:val="24"/>
          <w:lang w:val="es-MX" w:eastAsia="es-CO"/>
        </w:rPr>
        <w:t> </w:t>
      </w:r>
    </w:p>
    <w:p w:rsidR="00585D3B" w:rsidRPr="006C6045" w:rsidRDefault="00585D3B" w:rsidP="00585D3B">
      <w:pPr>
        <w:spacing w:after="0" w:line="240" w:lineRule="auto"/>
        <w:jc w:val="both"/>
        <w:rPr>
          <w:rFonts w:ascii="Times New Roman" w:eastAsia="Times New Roman" w:hAnsi="Times New Roman" w:cs="Times New Roman"/>
          <w:b/>
          <w:sz w:val="36"/>
          <w:szCs w:val="36"/>
          <w:u w:val="single"/>
          <w:lang w:eastAsia="es-CO"/>
        </w:rPr>
      </w:pPr>
      <w:r w:rsidRPr="006C6045">
        <w:rPr>
          <w:rFonts w:ascii="Times New Roman" w:eastAsia="Times New Roman" w:hAnsi="Times New Roman" w:cs="Times New Roman"/>
          <w:b/>
          <w:sz w:val="36"/>
          <w:szCs w:val="36"/>
          <w:lang w:val="es-MX" w:eastAsia="es-CO"/>
        </w:rPr>
        <w:t xml:space="preserve">En este orden de ideas, en la determinación del impuesto sobre la renta, para la procedencia de la deducción por pagos realizados a una persona natural que presta servicios de transporte de carga, </w:t>
      </w:r>
      <w:r w:rsidRPr="006C6045">
        <w:rPr>
          <w:rFonts w:ascii="Times New Roman" w:eastAsia="Times New Roman" w:hAnsi="Times New Roman" w:cs="Times New Roman"/>
          <w:b/>
          <w:sz w:val="36"/>
          <w:szCs w:val="36"/>
          <w:u w:val="single"/>
          <w:lang w:val="es-MX" w:eastAsia="es-CO"/>
        </w:rPr>
        <w:t>el contratante deberá verificar la afiliación y el pago de las cotizaciones y aportes al Sistema General de Seguridad Social que le corresponden al contratista según la ley,</w:t>
      </w:r>
    </w:p>
    <w:p w:rsidR="00585D3B" w:rsidRPr="006C6045" w:rsidRDefault="00585D3B" w:rsidP="00585D3B">
      <w:pPr>
        <w:spacing w:after="0" w:line="240" w:lineRule="auto"/>
        <w:jc w:val="both"/>
        <w:rPr>
          <w:rFonts w:ascii="Times New Roman" w:eastAsia="Times New Roman" w:hAnsi="Times New Roman" w:cs="Times New Roman"/>
          <w:sz w:val="36"/>
          <w:szCs w:val="36"/>
          <w:lang w:eastAsia="es-CO"/>
        </w:rPr>
      </w:pPr>
      <w:r w:rsidRPr="006C6045">
        <w:rPr>
          <w:rFonts w:ascii="Times New Roman" w:eastAsia="Times New Roman" w:hAnsi="Times New Roman" w:cs="Times New Roman"/>
          <w:sz w:val="36"/>
          <w:szCs w:val="36"/>
          <w:lang w:val="es-MX" w:eastAsia="es-CO"/>
        </w:rPr>
        <w:t> </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sz w:val="24"/>
          <w:szCs w:val="24"/>
          <w:lang w:val="es-MX" w:eastAsia="es-CO"/>
        </w:rPr>
        <w:t>Atentamente,</w:t>
      </w:r>
    </w:p>
    <w:p w:rsidR="00585D3B" w:rsidRPr="00585D3B" w:rsidRDefault="00585D3B" w:rsidP="00585D3B">
      <w:pPr>
        <w:spacing w:after="0" w:line="240" w:lineRule="auto"/>
        <w:jc w:val="both"/>
        <w:rPr>
          <w:rFonts w:ascii="Times New Roman" w:eastAsia="Times New Roman" w:hAnsi="Times New Roman" w:cs="Times New Roman"/>
          <w:sz w:val="24"/>
          <w:szCs w:val="24"/>
          <w:lang w:eastAsia="es-CO"/>
        </w:rPr>
      </w:pPr>
      <w:r w:rsidRPr="00585D3B">
        <w:rPr>
          <w:rFonts w:ascii="Times New Roman" w:eastAsia="Times New Roman" w:hAnsi="Times New Roman" w:cs="Times New Roman"/>
          <w:b/>
          <w:bCs/>
          <w:sz w:val="24"/>
          <w:szCs w:val="24"/>
          <w:lang w:val="es-MX" w:eastAsia="es-CO"/>
        </w:rPr>
        <w:t>ISABEL CRISTINA GARCÉS SÁNCHEZ</w:t>
      </w:r>
      <w:bookmarkStart w:id="0" w:name="_GoBack"/>
      <w:bookmarkEnd w:id="0"/>
    </w:p>
    <w:p w:rsidR="00585D3B" w:rsidRDefault="00585D3B" w:rsidP="00585D3B">
      <w:pPr>
        <w:spacing w:after="0" w:line="240" w:lineRule="auto"/>
        <w:jc w:val="both"/>
        <w:rPr>
          <w:rFonts w:ascii="Times New Roman" w:eastAsia="Times New Roman" w:hAnsi="Times New Roman" w:cs="Times New Roman"/>
          <w:sz w:val="24"/>
          <w:szCs w:val="24"/>
          <w:lang w:val="es-MX" w:eastAsia="es-CO"/>
        </w:rPr>
      </w:pPr>
      <w:r w:rsidRPr="00585D3B">
        <w:rPr>
          <w:rFonts w:ascii="Times New Roman" w:eastAsia="Times New Roman" w:hAnsi="Times New Roman" w:cs="Times New Roman"/>
          <w:sz w:val="24"/>
          <w:szCs w:val="24"/>
          <w:lang w:val="es-MX" w:eastAsia="es-CO"/>
        </w:rPr>
        <w:t>Directora de Gestión Jurídica</w:t>
      </w:r>
    </w:p>
    <w:p w:rsidR="00F41950" w:rsidRPr="00585D3B" w:rsidRDefault="00F41950" w:rsidP="00585D3B">
      <w:pPr>
        <w:spacing w:after="0" w:line="240" w:lineRule="auto"/>
        <w:jc w:val="both"/>
        <w:rPr>
          <w:rFonts w:ascii="Times New Roman" w:eastAsia="Times New Roman" w:hAnsi="Times New Roman" w:cs="Times New Roman"/>
          <w:sz w:val="24"/>
          <w:szCs w:val="24"/>
          <w:lang w:eastAsia="es-CO"/>
        </w:rPr>
      </w:pPr>
      <w:r>
        <w:rPr>
          <w:rFonts w:ascii="Times New Roman" w:eastAsia="Times New Roman" w:hAnsi="Times New Roman" w:cs="Times New Roman"/>
          <w:sz w:val="24"/>
          <w:szCs w:val="24"/>
          <w:lang w:val="es-MX" w:eastAsia="es-CO"/>
        </w:rPr>
        <w:t>________________________________________________________________________</w:t>
      </w:r>
    </w:p>
    <w:p w:rsidR="005B4C91" w:rsidRPr="00585D3B" w:rsidRDefault="005B4C91">
      <w:pPr>
        <w:rPr>
          <w:rFonts w:ascii="Times New Roman" w:hAnsi="Times New Roman" w:cs="Times New Roman"/>
          <w:sz w:val="24"/>
          <w:szCs w:val="24"/>
        </w:rPr>
      </w:pPr>
    </w:p>
    <w:sectPr w:rsidR="005B4C91" w:rsidRPr="00585D3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3B"/>
    <w:rsid w:val="00585D3B"/>
    <w:rsid w:val="005B4C91"/>
    <w:rsid w:val="006C6045"/>
    <w:rsid w:val="00F419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a.org.co/html/vista_de_un_articulo.asp?Norma=156" TargetMode="External"/><Relationship Id="rId3" Type="http://schemas.openxmlformats.org/officeDocument/2006/relationships/settings" Target="settings.xml"/><Relationship Id="rId7" Type="http://schemas.openxmlformats.org/officeDocument/2006/relationships/hyperlink" Target="http://www.ceta.org.co/html/vista_de_un_articulo.asp?Norma=15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eta.org.co/html/vista_de_un_articulo.asp?Norma=156" TargetMode="External"/><Relationship Id="rId5" Type="http://schemas.openxmlformats.org/officeDocument/2006/relationships/hyperlink" Target="mailto:guilletre01@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893</Words>
  <Characters>4912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3</cp:revision>
  <dcterms:created xsi:type="dcterms:W3CDTF">2013-09-27T02:17:00Z</dcterms:created>
  <dcterms:modified xsi:type="dcterms:W3CDTF">2013-12-12T19:06:00Z</dcterms:modified>
</cp:coreProperties>
</file>