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841" w:rsidRPr="00054841" w:rsidRDefault="00054841" w:rsidP="00054841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FF"/>
          <w:sz w:val="28"/>
          <w:lang w:eastAsia="es-CO"/>
        </w:rPr>
      </w:pPr>
      <w:r w:rsidRPr="00054841">
        <w:rPr>
          <w:rFonts w:ascii="Segoe UI" w:eastAsia="Times New Roman" w:hAnsi="Segoe UI" w:cs="Segoe UI"/>
          <w:b/>
          <w:bCs/>
          <w:color w:val="0000FF"/>
          <w:sz w:val="28"/>
          <w:lang w:eastAsia="es-CO"/>
        </w:rPr>
        <w:t>OFICIO N° 051315</w:t>
      </w:r>
    </w:p>
    <w:p w:rsidR="00054841" w:rsidRPr="00054841" w:rsidRDefault="00054841" w:rsidP="00054841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FF"/>
          <w:sz w:val="28"/>
          <w:lang w:eastAsia="es-CO"/>
        </w:rPr>
      </w:pPr>
      <w:r w:rsidRPr="00054841">
        <w:rPr>
          <w:rFonts w:ascii="Segoe UI" w:eastAsia="Times New Roman" w:hAnsi="Segoe UI" w:cs="Segoe UI"/>
          <w:b/>
          <w:bCs/>
          <w:color w:val="0000FF"/>
          <w:sz w:val="28"/>
          <w:lang w:eastAsia="es-CO"/>
        </w:rPr>
        <w:t>16-08-2013</w:t>
      </w:r>
    </w:p>
    <w:p w:rsidR="00054841" w:rsidRPr="00054841" w:rsidRDefault="00054841" w:rsidP="00054841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FF"/>
          <w:sz w:val="28"/>
          <w:lang w:eastAsia="es-CO"/>
        </w:rPr>
      </w:pPr>
      <w:r w:rsidRPr="00054841">
        <w:rPr>
          <w:rFonts w:ascii="Segoe UI" w:eastAsia="Times New Roman" w:hAnsi="Segoe UI" w:cs="Segoe UI"/>
          <w:b/>
          <w:bCs/>
          <w:color w:val="0000FF"/>
          <w:sz w:val="28"/>
          <w:lang w:eastAsia="es-CO"/>
        </w:rPr>
        <w:t>DIAN</w:t>
      </w:r>
    </w:p>
    <w:p w:rsidR="00054841" w:rsidRPr="00054841" w:rsidRDefault="00054841" w:rsidP="000548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054841" w:rsidRPr="00054841" w:rsidRDefault="00054841" w:rsidP="00054841">
      <w:pPr>
        <w:spacing w:after="0" w:line="240" w:lineRule="auto"/>
        <w:jc w:val="both"/>
        <w:rPr>
          <w:rFonts w:ascii="Segoe UI" w:eastAsia="Times New Roman" w:hAnsi="Segoe UI" w:cs="Segoe UI"/>
          <w:b/>
          <w:color w:val="0000FF"/>
          <w:sz w:val="24"/>
          <w:szCs w:val="24"/>
          <w:lang w:eastAsia="es-CO"/>
        </w:rPr>
      </w:pPr>
    </w:p>
    <w:p w:rsidR="00054841" w:rsidRPr="00054841" w:rsidRDefault="00054841" w:rsidP="000548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054841">
        <w:rPr>
          <w:rFonts w:ascii="Segoe UI" w:eastAsia="Times New Roman" w:hAnsi="Segoe UI" w:cs="Segoe UI"/>
          <w:bCs/>
          <w:sz w:val="24"/>
          <w:szCs w:val="24"/>
          <w:lang w:eastAsia="es-CO"/>
        </w:rPr>
        <w:t>100202208 - 1222</w:t>
      </w:r>
    </w:p>
    <w:p w:rsidR="00054841" w:rsidRPr="00054841" w:rsidRDefault="00054841" w:rsidP="00054841">
      <w:pPr>
        <w:widowControl w:val="0"/>
        <w:spacing w:after="0" w:line="240" w:lineRule="auto"/>
        <w:jc w:val="both"/>
        <w:rPr>
          <w:rFonts w:ascii="Segoe UI" w:eastAsia="Times New Roman" w:hAnsi="Segoe UI" w:cs="Segoe UI"/>
          <w:bCs/>
          <w:sz w:val="24"/>
          <w:szCs w:val="24"/>
          <w:lang w:eastAsia="es-CO"/>
        </w:rPr>
      </w:pPr>
      <w:r w:rsidRPr="00054841">
        <w:rPr>
          <w:rFonts w:ascii="Segoe UI" w:eastAsia="Times New Roman" w:hAnsi="Segoe UI" w:cs="Segoe UI"/>
          <w:bCs/>
          <w:sz w:val="24"/>
          <w:szCs w:val="24"/>
          <w:lang w:eastAsia="es-CO"/>
        </w:rPr>
        <w:t>Bogotá D.C.</w:t>
      </w:r>
    </w:p>
    <w:p w:rsidR="00054841" w:rsidRPr="00054841" w:rsidRDefault="00054841" w:rsidP="00054841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es-CO"/>
        </w:rPr>
      </w:pPr>
      <w:r w:rsidRPr="00054841">
        <w:rPr>
          <w:rFonts w:ascii="Segoe UI" w:eastAsia="Times New Roman" w:hAnsi="Segoe UI" w:cs="Segoe UI"/>
          <w:b/>
          <w:sz w:val="24"/>
          <w:szCs w:val="24"/>
          <w:lang w:eastAsia="es-CO"/>
        </w:rPr>
        <w:t xml:space="preserve">Ref.: </w:t>
      </w:r>
      <w:r w:rsidRPr="00054841">
        <w:rPr>
          <w:rFonts w:ascii="Segoe UI" w:eastAsia="Times New Roman" w:hAnsi="Segoe UI" w:cs="Segoe UI"/>
          <w:sz w:val="24"/>
          <w:szCs w:val="24"/>
          <w:lang w:eastAsia="es-CO"/>
        </w:rPr>
        <w:t>Solicitud radicado número 1183 del 12/08/2013</w:t>
      </w:r>
    </w:p>
    <w:p w:rsidR="00054841" w:rsidRPr="00054841" w:rsidRDefault="00054841" w:rsidP="000548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054841" w:rsidRPr="00054841" w:rsidRDefault="00054841" w:rsidP="00054841">
      <w:pPr>
        <w:widowControl w:val="0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es-CO"/>
        </w:rPr>
      </w:pPr>
      <w:r w:rsidRPr="00054841">
        <w:rPr>
          <w:rFonts w:ascii="Segoe UI" w:eastAsia="Times New Roman" w:hAnsi="Segoe UI" w:cs="Segoe UI"/>
          <w:sz w:val="24"/>
          <w:szCs w:val="24"/>
          <w:lang w:eastAsia="es-CO"/>
        </w:rPr>
        <w:t>Señor</w:t>
      </w:r>
    </w:p>
    <w:p w:rsidR="00054841" w:rsidRPr="00054841" w:rsidRDefault="00054841" w:rsidP="000548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054841">
        <w:rPr>
          <w:rFonts w:ascii="Segoe UI" w:eastAsia="Times New Roman" w:hAnsi="Segoe UI" w:cs="Segoe UI"/>
          <w:b/>
          <w:bCs/>
          <w:sz w:val="24"/>
          <w:szCs w:val="24"/>
          <w:lang w:eastAsia="es-CO"/>
        </w:rPr>
        <w:t>RUBÉN DARÍO CASTRILLÓN SÁNCHEZ</w:t>
      </w:r>
    </w:p>
    <w:p w:rsidR="00054841" w:rsidRPr="00054841" w:rsidRDefault="00054841" w:rsidP="000548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54841">
        <w:rPr>
          <w:rFonts w:ascii="Segoe UI" w:eastAsia="Times New Roman" w:hAnsi="Segoe UI" w:cs="Segoe UI"/>
          <w:sz w:val="24"/>
          <w:szCs w:val="24"/>
          <w:lang w:eastAsia="es-CO"/>
        </w:rPr>
        <w:t>Carrera 24 N° 20 - 48 Apto. 3</w:t>
      </w:r>
    </w:p>
    <w:p w:rsidR="00054841" w:rsidRPr="00054841" w:rsidRDefault="00054841" w:rsidP="00054841">
      <w:pPr>
        <w:widowControl w:val="0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es-CO"/>
        </w:rPr>
      </w:pPr>
      <w:r w:rsidRPr="00054841">
        <w:rPr>
          <w:rFonts w:ascii="Segoe UI" w:eastAsia="Times New Roman" w:hAnsi="Segoe UI" w:cs="Segoe UI"/>
          <w:sz w:val="24"/>
          <w:szCs w:val="24"/>
          <w:lang w:eastAsia="es-CO"/>
        </w:rPr>
        <w:t>Armenia -Quindío-</w:t>
      </w:r>
    </w:p>
    <w:p w:rsidR="00054841" w:rsidRPr="00054841" w:rsidRDefault="00054841" w:rsidP="00054841">
      <w:pPr>
        <w:widowControl w:val="0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es-CO"/>
        </w:rPr>
      </w:pPr>
      <w:hyperlink r:id="rId5" w:history="1">
        <w:r w:rsidRPr="00054841">
          <w:rPr>
            <w:rFonts w:ascii="Segoe UI" w:eastAsia="Times New Roman" w:hAnsi="Segoe UI" w:cs="Segoe UI"/>
            <w:color w:val="0000FF"/>
            <w:sz w:val="24"/>
            <w:szCs w:val="24"/>
            <w:lang w:eastAsia="es-CO"/>
          </w:rPr>
          <w:t>rubdacas@gmail.com</w:t>
        </w:r>
      </w:hyperlink>
    </w:p>
    <w:p w:rsidR="00054841" w:rsidRPr="00054841" w:rsidRDefault="00054841" w:rsidP="00054841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es-CO"/>
        </w:rPr>
      </w:pPr>
    </w:p>
    <w:p w:rsidR="00054841" w:rsidRPr="00054841" w:rsidRDefault="00054841" w:rsidP="00054841">
      <w:pPr>
        <w:widowControl w:val="0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es-CO"/>
        </w:rPr>
      </w:pPr>
      <w:r w:rsidRPr="00054841">
        <w:rPr>
          <w:rFonts w:ascii="Segoe UI" w:eastAsia="Times New Roman" w:hAnsi="Segoe UI" w:cs="Segoe UI"/>
          <w:sz w:val="24"/>
          <w:szCs w:val="24"/>
          <w:lang w:eastAsia="es-CO"/>
        </w:rPr>
        <w:t>Cordial saludo Señor Castrillón.</w:t>
      </w:r>
    </w:p>
    <w:p w:rsidR="00054841" w:rsidRPr="00054841" w:rsidRDefault="00054841" w:rsidP="00054841">
      <w:pPr>
        <w:widowControl w:val="0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es-CO"/>
        </w:rPr>
      </w:pPr>
    </w:p>
    <w:p w:rsidR="00054841" w:rsidRPr="00054841" w:rsidRDefault="00054841" w:rsidP="00054841">
      <w:pPr>
        <w:widowControl w:val="0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es-CO"/>
        </w:rPr>
      </w:pPr>
      <w:r w:rsidRPr="00054841">
        <w:rPr>
          <w:rFonts w:ascii="Segoe UI" w:eastAsia="Times New Roman" w:hAnsi="Segoe UI" w:cs="Segoe UI"/>
          <w:sz w:val="24"/>
          <w:szCs w:val="24"/>
          <w:lang w:eastAsia="es-CO"/>
        </w:rPr>
        <w:t xml:space="preserve">En relación con los beneficios consagrados en la Ley 1429 de 2010 consulta -aquí en resumen- si procederían en cabeza de una nueva sociedad que crearán con aportes en especie relativos a los activos patrimoniales de una sociedad preexistente y que perdió </w:t>
      </w:r>
      <w:r w:rsidRPr="00054841">
        <w:rPr>
          <w:rFonts w:ascii="Segoe UI" w:eastAsia="Times New Roman" w:hAnsi="Segoe UI" w:cs="Segoe UI"/>
          <w:bCs/>
          <w:sz w:val="24"/>
          <w:szCs w:val="24"/>
          <w:lang w:eastAsia="es-CO"/>
        </w:rPr>
        <w:t xml:space="preserve">la </w:t>
      </w:r>
      <w:r w:rsidRPr="00054841">
        <w:rPr>
          <w:rFonts w:ascii="Segoe UI" w:eastAsia="Times New Roman" w:hAnsi="Segoe UI" w:cs="Segoe UI"/>
          <w:sz w:val="24"/>
          <w:szCs w:val="24"/>
          <w:lang w:eastAsia="es-CO"/>
        </w:rPr>
        <w:t>posibilidad de dichos beneficios por no cumplir, en su oportunidad legal, con el requisito de renovación de la matrícula mercantil, razón por la cual se disuelve y liquidarían con el objeto de crear la nueva sociedad para la que se pretenden los beneficios tributarios referidos.</w:t>
      </w:r>
    </w:p>
    <w:p w:rsidR="00054841" w:rsidRPr="00054841" w:rsidRDefault="00054841" w:rsidP="00054841">
      <w:pPr>
        <w:widowControl w:val="0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es-CO"/>
        </w:rPr>
      </w:pPr>
    </w:p>
    <w:p w:rsidR="00054841" w:rsidRPr="00054841" w:rsidRDefault="00054841" w:rsidP="00054841">
      <w:pPr>
        <w:widowControl w:val="0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es-CO"/>
        </w:rPr>
      </w:pPr>
      <w:r w:rsidRPr="00054841">
        <w:rPr>
          <w:rFonts w:ascii="Segoe UI" w:eastAsia="Times New Roman" w:hAnsi="Segoe UI" w:cs="Segoe UI"/>
          <w:sz w:val="24"/>
          <w:szCs w:val="24"/>
          <w:lang w:eastAsia="es-CO"/>
        </w:rPr>
        <w:t xml:space="preserve">Indica, que analizada la Ley en su artículo 48 y el Decreto </w:t>
      </w:r>
      <w:r w:rsidRPr="00054841">
        <w:rPr>
          <w:rFonts w:ascii="Segoe UI" w:eastAsia="Times New Roman" w:hAnsi="Segoe UI" w:cs="Segoe UI"/>
          <w:bCs/>
          <w:sz w:val="24"/>
          <w:szCs w:val="24"/>
          <w:lang w:eastAsia="es-CO"/>
        </w:rPr>
        <w:t xml:space="preserve">545 de </w:t>
      </w:r>
      <w:r w:rsidRPr="00054841">
        <w:rPr>
          <w:rFonts w:ascii="Segoe UI" w:eastAsia="Times New Roman" w:hAnsi="Segoe UI" w:cs="Segoe UI"/>
          <w:sz w:val="24"/>
          <w:szCs w:val="24"/>
          <w:lang w:eastAsia="es-CO"/>
        </w:rPr>
        <w:t>2011, la nueva empresa, a su entender, no podría acceder a los beneficios de los artículos 4, 5 y 7 de la Ley 1429 de 2010, en cuanto el activo patrimonial objeto del aporte en especie y que corresponde a un intangible objeto de un registro sanitario, es activo de la sociedad a liquidar, que se transfiere a la nueva que se crea.</w:t>
      </w:r>
    </w:p>
    <w:p w:rsidR="00054841" w:rsidRPr="00054841" w:rsidRDefault="00054841" w:rsidP="00054841">
      <w:pPr>
        <w:widowControl w:val="0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es-CO"/>
        </w:rPr>
      </w:pPr>
    </w:p>
    <w:p w:rsidR="00054841" w:rsidRPr="00054841" w:rsidRDefault="00054841" w:rsidP="00054841">
      <w:pPr>
        <w:widowControl w:val="0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es-CO"/>
        </w:rPr>
      </w:pPr>
      <w:r w:rsidRPr="00054841">
        <w:rPr>
          <w:rFonts w:ascii="Segoe UI" w:eastAsia="Times New Roman" w:hAnsi="Segoe UI" w:cs="Segoe UI"/>
          <w:sz w:val="24"/>
          <w:szCs w:val="24"/>
          <w:lang w:eastAsia="es-CO"/>
        </w:rPr>
        <w:t>Concluye solicitando, se le indique qué trámite debe seguir para que la nueva sociedad utilice el registro sanitario de la que es titular la liquidada, con el objeto de acceder a los beneficios tributarios.</w:t>
      </w:r>
    </w:p>
    <w:p w:rsidR="00054841" w:rsidRPr="00054841" w:rsidRDefault="00054841" w:rsidP="00054841">
      <w:pPr>
        <w:widowControl w:val="0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es-CO"/>
        </w:rPr>
      </w:pPr>
    </w:p>
    <w:p w:rsidR="00054841" w:rsidRPr="00054841" w:rsidRDefault="00054841" w:rsidP="00054841">
      <w:pPr>
        <w:widowControl w:val="0"/>
        <w:spacing w:after="0" w:line="240" w:lineRule="auto"/>
        <w:jc w:val="both"/>
        <w:rPr>
          <w:rFonts w:ascii="Segoe UI" w:eastAsia="Times New Roman" w:hAnsi="Segoe UI" w:cs="Segoe UI"/>
          <w:b/>
          <w:sz w:val="24"/>
          <w:szCs w:val="24"/>
          <w:lang w:eastAsia="es-CO"/>
        </w:rPr>
      </w:pPr>
      <w:r w:rsidRPr="00054841">
        <w:rPr>
          <w:rFonts w:ascii="Segoe UI" w:eastAsia="Times New Roman" w:hAnsi="Segoe UI" w:cs="Segoe UI"/>
          <w:b/>
          <w:sz w:val="24"/>
          <w:szCs w:val="24"/>
          <w:lang w:eastAsia="es-CO"/>
        </w:rPr>
        <w:t>Respuesta.</w:t>
      </w:r>
    </w:p>
    <w:p w:rsidR="00054841" w:rsidRPr="00054841" w:rsidRDefault="00054841" w:rsidP="00054841">
      <w:pPr>
        <w:widowControl w:val="0"/>
        <w:spacing w:after="0" w:line="240" w:lineRule="auto"/>
        <w:jc w:val="both"/>
        <w:rPr>
          <w:rFonts w:ascii="Segoe UI" w:eastAsia="Times New Roman" w:hAnsi="Segoe UI" w:cs="Segoe UI"/>
          <w:b/>
          <w:sz w:val="24"/>
          <w:szCs w:val="24"/>
          <w:lang w:eastAsia="es-CO"/>
        </w:rPr>
      </w:pPr>
    </w:p>
    <w:p w:rsidR="00054841" w:rsidRPr="00054841" w:rsidRDefault="00054841" w:rsidP="00054841">
      <w:pPr>
        <w:widowControl w:val="0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es-CO"/>
        </w:rPr>
      </w:pPr>
      <w:r w:rsidRPr="00054841">
        <w:rPr>
          <w:rFonts w:ascii="Segoe UI" w:eastAsia="Times New Roman" w:hAnsi="Segoe UI" w:cs="Segoe UI"/>
          <w:sz w:val="24"/>
          <w:szCs w:val="24"/>
          <w:lang w:eastAsia="es-CO"/>
        </w:rPr>
        <w:t>Sea primero indicarle, que al tenor del artículo 19 del Decreto 4048 de 2008, lo relacionado con los registros de derechos sobre intangibles y su utilización son temas que escapan a la órbita de competencia de este despacho.</w:t>
      </w:r>
    </w:p>
    <w:p w:rsidR="00054841" w:rsidRPr="00054841" w:rsidRDefault="00054841" w:rsidP="00054841">
      <w:pPr>
        <w:widowControl w:val="0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es-CO"/>
        </w:rPr>
      </w:pPr>
    </w:p>
    <w:p w:rsidR="00054841" w:rsidRPr="00054841" w:rsidRDefault="00054841" w:rsidP="00054841">
      <w:pPr>
        <w:widowControl w:val="0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es-CO"/>
        </w:rPr>
      </w:pPr>
      <w:r w:rsidRPr="00054841">
        <w:rPr>
          <w:rFonts w:ascii="Segoe UI" w:eastAsia="Times New Roman" w:hAnsi="Segoe UI" w:cs="Segoe UI"/>
          <w:sz w:val="24"/>
          <w:szCs w:val="24"/>
          <w:lang w:eastAsia="es-CO"/>
        </w:rPr>
        <w:t>Ahora bien, no obstante que la información por Ud. suministrada es insuficiente en relación con la condición de la sociedad a liquidar en su carácter de empresa nueva o preexistente en el contexto de la Ley y específicamente del artículo 1° del Decreto 4910 de 2011, comedidamente ponemos en su conocimiento que, según lo establece la normatividad existente, las Pequeñas Empresas constituidas con posterioridad a la entrada en vigencia de la Ley 1429 de 2010, en las cuales el objeto social, la actividad, la nómina, el o los establecimientos de comercio, el domicilio, los intangibles o los activos que conformen su unidad de explotación económica sean los mismos de una empresa que haya sido disuelta, liquidada, escindida o inactiva con posterioridad a la entrada en vigencia de esa misma Ley, en ningún caso podrán acceder al beneficio de progresividad en el pago del impuesto sobre la renta y complementarios contemplado en el artículo 4° de la citada Ley.</w:t>
      </w:r>
    </w:p>
    <w:p w:rsidR="00054841" w:rsidRPr="00054841" w:rsidRDefault="00054841" w:rsidP="00054841">
      <w:pPr>
        <w:widowControl w:val="0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es-CO"/>
        </w:rPr>
      </w:pPr>
    </w:p>
    <w:p w:rsidR="00054841" w:rsidRPr="00054841" w:rsidRDefault="00054841" w:rsidP="00054841">
      <w:pPr>
        <w:widowControl w:val="0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es-CO"/>
        </w:rPr>
      </w:pPr>
      <w:r w:rsidRPr="00054841">
        <w:rPr>
          <w:rFonts w:ascii="Segoe UI" w:eastAsia="Times New Roman" w:hAnsi="Segoe UI" w:cs="Segoe UI"/>
          <w:sz w:val="24"/>
          <w:szCs w:val="24"/>
          <w:lang w:eastAsia="es-CO"/>
        </w:rPr>
        <w:t>En efecto, el artículo 5° del Decreto 4910 de 2011 claramente prescribe:</w:t>
      </w:r>
    </w:p>
    <w:p w:rsidR="00054841" w:rsidRPr="00054841" w:rsidRDefault="00054841" w:rsidP="00054841">
      <w:pPr>
        <w:widowControl w:val="0"/>
        <w:spacing w:after="0" w:line="240" w:lineRule="auto"/>
        <w:ind w:left="284"/>
        <w:jc w:val="both"/>
        <w:rPr>
          <w:rFonts w:ascii="Segoe UI" w:eastAsia="Times New Roman" w:hAnsi="Segoe UI" w:cs="Segoe UI"/>
          <w:iCs/>
          <w:sz w:val="24"/>
          <w:szCs w:val="24"/>
          <w:lang w:eastAsia="es-CO"/>
        </w:rPr>
      </w:pPr>
    </w:p>
    <w:p w:rsidR="00054841" w:rsidRPr="00054841" w:rsidRDefault="00054841" w:rsidP="00054841">
      <w:pPr>
        <w:widowControl w:val="0"/>
        <w:spacing w:after="0" w:line="240" w:lineRule="auto"/>
        <w:ind w:left="284"/>
        <w:jc w:val="both"/>
        <w:rPr>
          <w:rFonts w:ascii="Segoe UI" w:eastAsia="Times New Roman" w:hAnsi="Segoe UI" w:cs="Segoe UI"/>
          <w:iCs/>
          <w:sz w:val="24"/>
          <w:szCs w:val="24"/>
          <w:lang w:eastAsia="es-CO"/>
        </w:rPr>
      </w:pPr>
      <w:r w:rsidRPr="00054841">
        <w:rPr>
          <w:rFonts w:ascii="Segoe UI" w:eastAsia="Times New Roman" w:hAnsi="Segoe UI" w:cs="Segoe UI"/>
          <w:b/>
          <w:iCs/>
          <w:sz w:val="24"/>
          <w:szCs w:val="24"/>
          <w:lang w:eastAsia="es-CO"/>
        </w:rPr>
        <w:t xml:space="preserve">"ARTÍCULO 5° PROHIBICIÓN PARA ACCEDER AL BENEFICIO DE PROGRESIVIDAD EN EL PAGO DEL IMPUESTO SOBRE LA RENTA </w:t>
      </w:r>
      <w:r w:rsidRPr="00054841">
        <w:rPr>
          <w:rFonts w:ascii="Segoe UI" w:eastAsia="Times New Roman" w:hAnsi="Segoe UI" w:cs="Segoe UI"/>
          <w:b/>
          <w:sz w:val="24"/>
          <w:szCs w:val="24"/>
          <w:lang w:eastAsia="es-CO"/>
        </w:rPr>
        <w:t xml:space="preserve">Y </w:t>
      </w:r>
      <w:r w:rsidRPr="00054841">
        <w:rPr>
          <w:rFonts w:ascii="Segoe UI" w:eastAsia="Times New Roman" w:hAnsi="Segoe UI" w:cs="Segoe UI"/>
          <w:b/>
          <w:iCs/>
          <w:sz w:val="24"/>
          <w:szCs w:val="24"/>
          <w:lang w:eastAsia="es-CO"/>
        </w:rPr>
        <w:t>COMPLEMENTARIOS.</w:t>
      </w:r>
      <w:r w:rsidRPr="00054841">
        <w:rPr>
          <w:rFonts w:ascii="Segoe UI" w:eastAsia="Times New Roman" w:hAnsi="Segoe UI" w:cs="Segoe UI"/>
          <w:iCs/>
          <w:sz w:val="24"/>
          <w:szCs w:val="24"/>
          <w:lang w:eastAsia="es-CO"/>
        </w:rPr>
        <w:t xml:space="preserve"> Conforme </w:t>
      </w:r>
      <w:r w:rsidRPr="00054841">
        <w:rPr>
          <w:rFonts w:ascii="Segoe UI" w:eastAsia="Times New Roman" w:hAnsi="Segoe UI" w:cs="Segoe UI"/>
          <w:sz w:val="24"/>
          <w:szCs w:val="24"/>
          <w:lang w:eastAsia="es-CO"/>
        </w:rPr>
        <w:t xml:space="preserve">con </w:t>
      </w:r>
      <w:r w:rsidRPr="00054841">
        <w:rPr>
          <w:rFonts w:ascii="Segoe UI" w:eastAsia="Times New Roman" w:hAnsi="Segoe UI" w:cs="Segoe UI"/>
          <w:iCs/>
          <w:sz w:val="24"/>
          <w:szCs w:val="24"/>
          <w:lang w:eastAsia="es-CO"/>
        </w:rPr>
        <w:t xml:space="preserve">lo dispuesto en el artículo 48 de la Ley 1429 </w:t>
      </w:r>
      <w:r w:rsidRPr="00054841">
        <w:rPr>
          <w:rFonts w:ascii="Segoe UI" w:eastAsia="Times New Roman" w:hAnsi="Segoe UI" w:cs="Segoe UI"/>
          <w:sz w:val="24"/>
          <w:szCs w:val="24"/>
          <w:lang w:eastAsia="es-CO"/>
        </w:rPr>
        <w:t xml:space="preserve">de </w:t>
      </w:r>
      <w:r w:rsidRPr="00054841">
        <w:rPr>
          <w:rFonts w:ascii="Segoe UI" w:eastAsia="Times New Roman" w:hAnsi="Segoe UI" w:cs="Segoe UI"/>
          <w:iCs/>
          <w:sz w:val="24"/>
          <w:szCs w:val="24"/>
          <w:lang w:eastAsia="es-CO"/>
        </w:rPr>
        <w:t xml:space="preserve">2010 y sin perjuicio de lo previsto en el artículo </w:t>
      </w:r>
      <w:r w:rsidRPr="00054841">
        <w:rPr>
          <w:rFonts w:ascii="Segoe UI" w:eastAsia="Times New Roman" w:hAnsi="Segoe UI" w:cs="Segoe UI"/>
          <w:sz w:val="24"/>
          <w:szCs w:val="24"/>
          <w:lang w:eastAsia="es-CO"/>
        </w:rPr>
        <w:t xml:space="preserve">6° </w:t>
      </w:r>
      <w:r w:rsidRPr="00054841">
        <w:rPr>
          <w:rFonts w:ascii="Segoe UI" w:eastAsia="Times New Roman" w:hAnsi="Segoe UI" w:cs="Segoe UI"/>
          <w:iCs/>
          <w:sz w:val="24"/>
          <w:szCs w:val="24"/>
          <w:lang w:eastAsia="es-CO"/>
        </w:rPr>
        <w:t xml:space="preserve">del Decreto 00545 del 25 de febrero de 2011, las Pequeñas Empresas constituidas con posterioridad a la entrada en vigencia de la Ley 1429 de 2010, en las cuales el objeto social, la actividad, la nómina, el o los establecimientos de comercio, el domicilio, los intangibles o los activos que conformen su unidad de explotación económica sean los mismos de una empresa que haya sido disuelta, liquidada, escindida </w:t>
      </w:r>
      <w:r w:rsidRPr="00054841">
        <w:rPr>
          <w:rFonts w:ascii="Segoe UI" w:eastAsia="Times New Roman" w:hAnsi="Segoe UI" w:cs="Segoe UI"/>
          <w:sz w:val="24"/>
          <w:szCs w:val="24"/>
          <w:lang w:eastAsia="es-CO"/>
        </w:rPr>
        <w:t xml:space="preserve">o </w:t>
      </w:r>
      <w:r w:rsidRPr="00054841">
        <w:rPr>
          <w:rFonts w:ascii="Segoe UI" w:eastAsia="Times New Roman" w:hAnsi="Segoe UI" w:cs="Segoe UI"/>
          <w:iCs/>
          <w:sz w:val="24"/>
          <w:szCs w:val="24"/>
          <w:lang w:eastAsia="es-CO"/>
        </w:rPr>
        <w:t xml:space="preserve">inactiva con posterioridad a </w:t>
      </w:r>
      <w:r w:rsidRPr="00054841">
        <w:rPr>
          <w:rFonts w:ascii="Segoe UI" w:eastAsia="Times New Roman" w:hAnsi="Segoe UI" w:cs="Segoe UI"/>
          <w:sz w:val="24"/>
          <w:szCs w:val="24"/>
          <w:lang w:eastAsia="es-CO"/>
        </w:rPr>
        <w:t xml:space="preserve">la </w:t>
      </w:r>
      <w:r w:rsidRPr="00054841">
        <w:rPr>
          <w:rFonts w:ascii="Segoe UI" w:eastAsia="Times New Roman" w:hAnsi="Segoe UI" w:cs="Segoe UI"/>
          <w:iCs/>
          <w:sz w:val="24"/>
          <w:szCs w:val="24"/>
          <w:lang w:eastAsia="es-CO"/>
        </w:rPr>
        <w:t xml:space="preserve">entrada en vigencia </w:t>
      </w:r>
      <w:r w:rsidRPr="00054841">
        <w:rPr>
          <w:rFonts w:ascii="Segoe UI" w:eastAsia="Times New Roman" w:hAnsi="Segoe UI" w:cs="Segoe UI"/>
          <w:sz w:val="24"/>
          <w:szCs w:val="24"/>
          <w:lang w:eastAsia="es-CO"/>
        </w:rPr>
        <w:t xml:space="preserve">de </w:t>
      </w:r>
      <w:r w:rsidRPr="00054841">
        <w:rPr>
          <w:rFonts w:ascii="Segoe UI" w:eastAsia="Times New Roman" w:hAnsi="Segoe UI" w:cs="Segoe UI"/>
          <w:iCs/>
          <w:sz w:val="24"/>
          <w:szCs w:val="24"/>
          <w:lang w:eastAsia="es-CO"/>
        </w:rPr>
        <w:t>esa misma Ley, en ningún caso podrán acceder al beneficio de progresividad en el pago del impuesto sobre la renta y complementarios contemplado en el artículo 4° de la citada Ley.</w:t>
      </w:r>
    </w:p>
    <w:p w:rsidR="00054841" w:rsidRPr="00054841" w:rsidRDefault="00054841" w:rsidP="00054841">
      <w:pPr>
        <w:widowControl w:val="0"/>
        <w:spacing w:after="0" w:line="240" w:lineRule="auto"/>
        <w:ind w:left="284"/>
        <w:jc w:val="both"/>
        <w:rPr>
          <w:rFonts w:ascii="Segoe UI" w:eastAsia="Times New Roman" w:hAnsi="Segoe UI" w:cs="Segoe UI"/>
          <w:iCs/>
          <w:sz w:val="24"/>
          <w:szCs w:val="24"/>
          <w:lang w:eastAsia="es-CO"/>
        </w:rPr>
      </w:pPr>
    </w:p>
    <w:p w:rsidR="00054841" w:rsidRPr="00054841" w:rsidRDefault="00054841" w:rsidP="00054841">
      <w:pPr>
        <w:widowControl w:val="0"/>
        <w:spacing w:after="0" w:line="240" w:lineRule="auto"/>
        <w:ind w:left="284"/>
        <w:jc w:val="both"/>
        <w:rPr>
          <w:rFonts w:ascii="Segoe UI" w:eastAsia="Times New Roman" w:hAnsi="Segoe UI" w:cs="Segoe UI"/>
          <w:iCs/>
          <w:sz w:val="24"/>
          <w:szCs w:val="24"/>
          <w:lang w:eastAsia="es-CO"/>
        </w:rPr>
      </w:pPr>
      <w:r w:rsidRPr="00054841">
        <w:rPr>
          <w:rFonts w:ascii="Segoe UI" w:eastAsia="Times New Roman" w:hAnsi="Segoe UI" w:cs="Segoe UI"/>
          <w:iCs/>
          <w:sz w:val="24"/>
          <w:szCs w:val="24"/>
          <w:lang w:eastAsia="es-CO"/>
        </w:rPr>
        <w:t xml:space="preserve">Las pequeñas empresas que se hayan acogido al beneficio y adquieran la calidad de inactivas serán reportadas por las Cámaras de Comercio ante la Dirección de Impuestos y Aduanas Nacionales y ante las entidades destinatarias </w:t>
      </w:r>
      <w:r w:rsidRPr="00054841">
        <w:rPr>
          <w:rFonts w:ascii="Segoe UI" w:eastAsia="Times New Roman" w:hAnsi="Segoe UI" w:cs="Segoe UI"/>
          <w:sz w:val="24"/>
          <w:szCs w:val="24"/>
          <w:lang w:eastAsia="es-CO"/>
        </w:rPr>
        <w:t xml:space="preserve">de </w:t>
      </w:r>
      <w:r w:rsidRPr="00054841">
        <w:rPr>
          <w:rFonts w:ascii="Segoe UI" w:eastAsia="Times New Roman" w:hAnsi="Segoe UI" w:cs="Segoe UI"/>
          <w:iCs/>
          <w:sz w:val="24"/>
          <w:szCs w:val="24"/>
          <w:lang w:eastAsia="es-CO"/>
        </w:rPr>
        <w:t xml:space="preserve">los aportes parafiscales, para que en ejercicio de sus respectivas competencias funcionales adelanten las actuaciones encaminadas a la restitución de los beneficios obtenidos violando la prohibición a que se refiere el artículo 48 ibídem, en concordancia </w:t>
      </w:r>
      <w:r w:rsidRPr="00054841">
        <w:rPr>
          <w:rFonts w:ascii="Segoe UI" w:eastAsia="Times New Roman" w:hAnsi="Segoe UI" w:cs="Segoe UI"/>
          <w:sz w:val="24"/>
          <w:szCs w:val="24"/>
          <w:lang w:eastAsia="es-CO"/>
        </w:rPr>
        <w:t xml:space="preserve">con </w:t>
      </w:r>
      <w:r w:rsidRPr="00054841">
        <w:rPr>
          <w:rFonts w:ascii="Segoe UI" w:eastAsia="Times New Roman" w:hAnsi="Segoe UI" w:cs="Segoe UI"/>
          <w:iCs/>
          <w:sz w:val="24"/>
          <w:szCs w:val="24"/>
          <w:lang w:eastAsia="es-CO"/>
        </w:rPr>
        <w:t xml:space="preserve">lo dispuesto </w:t>
      </w:r>
      <w:r w:rsidRPr="00054841">
        <w:rPr>
          <w:rFonts w:ascii="Segoe UI" w:eastAsia="Times New Roman" w:hAnsi="Segoe UI" w:cs="Segoe UI"/>
          <w:sz w:val="24"/>
          <w:szCs w:val="24"/>
          <w:lang w:eastAsia="es-CO"/>
        </w:rPr>
        <w:t xml:space="preserve">en </w:t>
      </w:r>
      <w:r w:rsidRPr="00054841">
        <w:rPr>
          <w:rFonts w:ascii="Segoe UI" w:eastAsia="Times New Roman" w:hAnsi="Segoe UI" w:cs="Segoe UI"/>
          <w:iCs/>
          <w:sz w:val="24"/>
          <w:szCs w:val="24"/>
          <w:lang w:eastAsia="es-CO"/>
        </w:rPr>
        <w:t>el presente artículo.</w:t>
      </w:r>
    </w:p>
    <w:p w:rsidR="00054841" w:rsidRPr="00054841" w:rsidRDefault="00054841" w:rsidP="00054841">
      <w:pPr>
        <w:widowControl w:val="0"/>
        <w:spacing w:after="0" w:line="240" w:lineRule="auto"/>
        <w:ind w:left="284"/>
        <w:jc w:val="both"/>
        <w:rPr>
          <w:rFonts w:ascii="Segoe UI" w:eastAsia="Times New Roman" w:hAnsi="Segoe UI" w:cs="Segoe UI"/>
          <w:iCs/>
          <w:sz w:val="24"/>
          <w:szCs w:val="24"/>
          <w:lang w:eastAsia="es-CO"/>
        </w:rPr>
      </w:pPr>
    </w:p>
    <w:p w:rsidR="00054841" w:rsidRPr="00054841" w:rsidRDefault="00054841" w:rsidP="00054841">
      <w:pPr>
        <w:widowControl w:val="0"/>
        <w:spacing w:after="0" w:line="240" w:lineRule="auto"/>
        <w:ind w:left="284"/>
        <w:jc w:val="both"/>
        <w:rPr>
          <w:rFonts w:ascii="Segoe UI" w:eastAsia="Times New Roman" w:hAnsi="Segoe UI" w:cs="Segoe UI"/>
          <w:iCs/>
          <w:sz w:val="24"/>
          <w:szCs w:val="24"/>
          <w:lang w:eastAsia="es-CO"/>
        </w:rPr>
      </w:pPr>
      <w:r w:rsidRPr="00054841">
        <w:rPr>
          <w:rFonts w:ascii="Segoe UI" w:eastAsia="Times New Roman" w:hAnsi="Segoe UI" w:cs="Segoe UI"/>
          <w:iCs/>
          <w:sz w:val="24"/>
          <w:szCs w:val="24"/>
          <w:lang w:eastAsia="es-CO"/>
        </w:rPr>
        <w:t xml:space="preserve">Igualmente para efectos de lo previsto en este artículo, y sin perjuicio de las </w:t>
      </w:r>
      <w:r w:rsidRPr="00054841">
        <w:rPr>
          <w:rFonts w:ascii="Segoe UI" w:eastAsia="Times New Roman" w:hAnsi="Segoe UI" w:cs="Segoe UI"/>
          <w:iCs/>
          <w:sz w:val="24"/>
          <w:szCs w:val="24"/>
          <w:lang w:eastAsia="es-CO"/>
        </w:rPr>
        <w:lastRenderedPageBreak/>
        <w:t xml:space="preserve">amplias facultades de fiscalización e investigación atribuidas a la Administración Tributaria por el </w:t>
      </w:r>
      <w:hyperlink r:id="rId6" w:tooltip="Estatuto Tributario CETA" w:history="1">
        <w:r w:rsidRPr="00054841">
          <w:rPr>
            <w:rFonts w:ascii="Segoe UI" w:eastAsia="Times New Roman" w:hAnsi="Segoe UI" w:cs="Segoe UI"/>
            <w:iCs/>
            <w:color w:val="0089E1"/>
            <w:sz w:val="24"/>
            <w:szCs w:val="24"/>
            <w:lang w:eastAsia="es-CO"/>
          </w:rPr>
          <w:t>artículo 684</w:t>
        </w:r>
      </w:hyperlink>
      <w:r w:rsidRPr="00054841">
        <w:rPr>
          <w:rFonts w:ascii="Segoe UI" w:eastAsia="Times New Roman" w:hAnsi="Segoe UI" w:cs="Segoe UI"/>
          <w:iCs/>
          <w:sz w:val="24"/>
          <w:szCs w:val="24"/>
          <w:lang w:eastAsia="es-CO"/>
        </w:rPr>
        <w:t xml:space="preserve"> del Estatuto Tributario, la Unidad Administrativa Especial de Gestión Pensional y Contribuciones Parafiscales de la Protección Social (UGPP) hará especial seguimiento con el fin de establecer y comunicar a la DIAN la inobservancia de esta prohibición.</w:t>
      </w:r>
    </w:p>
    <w:p w:rsidR="00054841" w:rsidRPr="00054841" w:rsidRDefault="00054841" w:rsidP="00054841">
      <w:pPr>
        <w:widowControl w:val="0"/>
        <w:spacing w:after="0" w:line="240" w:lineRule="auto"/>
        <w:ind w:left="284"/>
        <w:jc w:val="both"/>
        <w:rPr>
          <w:rFonts w:ascii="Segoe UI" w:eastAsia="Times New Roman" w:hAnsi="Segoe UI" w:cs="Segoe UI"/>
          <w:iCs/>
          <w:sz w:val="24"/>
          <w:szCs w:val="24"/>
          <w:lang w:eastAsia="es-CO"/>
        </w:rPr>
      </w:pPr>
    </w:p>
    <w:p w:rsidR="00054841" w:rsidRPr="00054841" w:rsidRDefault="00054841" w:rsidP="00054841">
      <w:pPr>
        <w:widowControl w:val="0"/>
        <w:spacing w:after="0" w:line="240" w:lineRule="auto"/>
        <w:ind w:left="284"/>
        <w:jc w:val="both"/>
        <w:rPr>
          <w:rFonts w:ascii="Segoe UI" w:eastAsia="Times New Roman" w:hAnsi="Segoe UI" w:cs="Segoe UI"/>
          <w:iCs/>
          <w:sz w:val="24"/>
          <w:szCs w:val="24"/>
          <w:lang w:eastAsia="es-CO"/>
        </w:rPr>
      </w:pPr>
      <w:r w:rsidRPr="00054841">
        <w:rPr>
          <w:rFonts w:ascii="Segoe UI" w:eastAsia="Times New Roman" w:hAnsi="Segoe UI" w:cs="Segoe UI"/>
          <w:iCs/>
          <w:sz w:val="24"/>
          <w:szCs w:val="24"/>
          <w:lang w:eastAsia="es-CO"/>
        </w:rPr>
        <w:t xml:space="preserve">En lo concerniente al suministro de información, se aplicará lo dispuesto en el artículo </w:t>
      </w:r>
      <w:r w:rsidRPr="00054841">
        <w:rPr>
          <w:rFonts w:ascii="Segoe UI" w:eastAsia="Times New Roman" w:hAnsi="Segoe UI" w:cs="Segoe UI"/>
          <w:sz w:val="24"/>
          <w:szCs w:val="24"/>
          <w:lang w:eastAsia="es-CO"/>
        </w:rPr>
        <w:t xml:space="preserve">15 del </w:t>
      </w:r>
      <w:r w:rsidRPr="00054841">
        <w:rPr>
          <w:rFonts w:ascii="Segoe UI" w:eastAsia="Times New Roman" w:hAnsi="Segoe UI" w:cs="Segoe UI"/>
          <w:iCs/>
          <w:sz w:val="24"/>
          <w:szCs w:val="24"/>
          <w:lang w:eastAsia="es-CO"/>
        </w:rPr>
        <w:t>presente decreto."</w:t>
      </w:r>
    </w:p>
    <w:p w:rsidR="00054841" w:rsidRPr="00054841" w:rsidRDefault="00054841" w:rsidP="00054841">
      <w:pPr>
        <w:widowControl w:val="0"/>
        <w:spacing w:after="0" w:line="240" w:lineRule="auto"/>
        <w:jc w:val="both"/>
        <w:rPr>
          <w:rFonts w:ascii="Segoe UI" w:eastAsia="Times New Roman" w:hAnsi="Segoe UI" w:cs="Segoe UI"/>
          <w:iCs/>
          <w:sz w:val="24"/>
          <w:szCs w:val="24"/>
          <w:lang w:eastAsia="es-CO"/>
        </w:rPr>
      </w:pPr>
    </w:p>
    <w:p w:rsidR="00054841" w:rsidRPr="00054841" w:rsidRDefault="00054841" w:rsidP="00054841">
      <w:pPr>
        <w:widowControl w:val="0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es-CO"/>
        </w:rPr>
      </w:pPr>
      <w:r w:rsidRPr="00054841">
        <w:rPr>
          <w:rFonts w:ascii="Segoe UI" w:eastAsia="Times New Roman" w:hAnsi="Segoe UI" w:cs="Segoe UI"/>
          <w:sz w:val="24"/>
          <w:szCs w:val="24"/>
          <w:lang w:eastAsia="es-CO"/>
        </w:rPr>
        <w:t xml:space="preserve">Por último y como complemento, le remitimos copia de los Conceptos 48992 y </w:t>
      </w:r>
      <w:r w:rsidRPr="00054841">
        <w:rPr>
          <w:rFonts w:ascii="Segoe UI" w:eastAsia="Times New Roman" w:hAnsi="Segoe UI" w:cs="Segoe UI"/>
          <w:bCs/>
          <w:sz w:val="24"/>
          <w:szCs w:val="24"/>
          <w:lang w:eastAsia="es-CO"/>
        </w:rPr>
        <w:t xml:space="preserve">53946 </w:t>
      </w:r>
      <w:r w:rsidRPr="00054841">
        <w:rPr>
          <w:rFonts w:ascii="Segoe UI" w:eastAsia="Times New Roman" w:hAnsi="Segoe UI" w:cs="Segoe UI"/>
          <w:sz w:val="24"/>
          <w:szCs w:val="24"/>
          <w:lang w:eastAsia="es-CO"/>
        </w:rPr>
        <w:t>de 2012.</w:t>
      </w:r>
    </w:p>
    <w:p w:rsidR="00054841" w:rsidRPr="00054841" w:rsidRDefault="00054841" w:rsidP="00054841">
      <w:pPr>
        <w:widowControl w:val="0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es-CO"/>
        </w:rPr>
      </w:pPr>
    </w:p>
    <w:p w:rsidR="00054841" w:rsidRPr="00054841" w:rsidRDefault="00054841" w:rsidP="00054841">
      <w:pPr>
        <w:widowControl w:val="0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es-CO"/>
        </w:rPr>
      </w:pPr>
      <w:r w:rsidRPr="00054841">
        <w:rPr>
          <w:rFonts w:ascii="Segoe UI" w:eastAsia="Times New Roman" w:hAnsi="Segoe UI" w:cs="Segoe UI"/>
          <w:sz w:val="24"/>
          <w:szCs w:val="24"/>
          <w:lang w:eastAsia="es-CO"/>
        </w:rPr>
        <w:t>Atentamente,</w:t>
      </w:r>
    </w:p>
    <w:p w:rsidR="00054841" w:rsidRPr="00054841" w:rsidRDefault="00054841" w:rsidP="00054841">
      <w:pPr>
        <w:widowControl w:val="0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es-CO"/>
        </w:rPr>
      </w:pPr>
    </w:p>
    <w:p w:rsidR="00054841" w:rsidRPr="00054841" w:rsidRDefault="00054841" w:rsidP="00054841">
      <w:pPr>
        <w:widowControl w:val="0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es-CO"/>
        </w:rPr>
      </w:pPr>
    </w:p>
    <w:p w:rsidR="00054841" w:rsidRPr="00054841" w:rsidRDefault="00054841" w:rsidP="000548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054841">
        <w:rPr>
          <w:rFonts w:ascii="Segoe UI" w:eastAsia="Times New Roman" w:hAnsi="Segoe UI" w:cs="Segoe UI"/>
          <w:b/>
          <w:bCs/>
          <w:sz w:val="24"/>
          <w:szCs w:val="24"/>
          <w:lang w:eastAsia="es-CO"/>
        </w:rPr>
        <w:t>ISABEL CRISTINA GARCÉS SÁNCHEZ</w:t>
      </w:r>
    </w:p>
    <w:p w:rsidR="00054841" w:rsidRPr="00054841" w:rsidRDefault="00054841" w:rsidP="000548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54841">
        <w:rPr>
          <w:rFonts w:ascii="Segoe UI" w:eastAsia="Times New Roman" w:hAnsi="Segoe UI" w:cs="Segoe UI"/>
          <w:bCs/>
          <w:sz w:val="24"/>
          <w:szCs w:val="24"/>
          <w:lang w:eastAsia="es-CO"/>
        </w:rPr>
        <w:t>Directora de Gestión Jurídica</w:t>
      </w:r>
    </w:p>
    <w:p w:rsidR="007F50DD" w:rsidRDefault="007F50DD">
      <w:bookmarkStart w:id="0" w:name="_GoBack"/>
      <w:bookmarkEnd w:id="0"/>
    </w:p>
    <w:sectPr w:rsidR="007F50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41"/>
    <w:rsid w:val="00054841"/>
    <w:rsid w:val="007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ta.org.co/html/vista_de_un_articulo.asp?Norma=851" TargetMode="External"/><Relationship Id="rId5" Type="http://schemas.openxmlformats.org/officeDocument/2006/relationships/hyperlink" Target="mailto:rubdac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765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NACIONAL DE ESTUDIOS TRIBUTARIOS DE COLOMBIA</dc:creator>
  <cp:lastModifiedBy>CENTRO NACIONAL DE ESTUDIOS TRIBUTARIOS DE COLOMBIA </cp:lastModifiedBy>
  <cp:revision>1</cp:revision>
  <dcterms:created xsi:type="dcterms:W3CDTF">2013-10-16T01:54:00Z</dcterms:created>
  <dcterms:modified xsi:type="dcterms:W3CDTF">2013-10-16T01:56:00Z</dcterms:modified>
</cp:coreProperties>
</file>