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FCDD2"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 xml:space="preserve">OFICIO </w:t>
      </w:r>
      <w:proofErr w:type="spellStart"/>
      <w:r w:rsidRPr="00740C42">
        <w:rPr>
          <w:rFonts w:eastAsia="Times New Roman" w:cs="Times New Roman"/>
          <w:b/>
          <w:bCs/>
          <w:szCs w:val="24"/>
          <w:lang w:eastAsia="es-CO"/>
        </w:rPr>
        <w:t>Nº</w:t>
      </w:r>
      <w:proofErr w:type="spellEnd"/>
      <w:r w:rsidRPr="00740C42">
        <w:rPr>
          <w:rFonts w:eastAsia="Times New Roman" w:cs="Times New Roman"/>
          <w:b/>
          <w:bCs/>
          <w:szCs w:val="24"/>
          <w:lang w:eastAsia="es-CO"/>
        </w:rPr>
        <w:t xml:space="preserve"> 991 [911121]</w:t>
      </w:r>
    </w:p>
    <w:p w14:paraId="588793C1"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10-08-2022</w:t>
      </w:r>
    </w:p>
    <w:p w14:paraId="643C423B" w14:textId="77777777" w:rsidR="00740C42" w:rsidRPr="00740C42" w:rsidRDefault="00740C42" w:rsidP="00740C42">
      <w:pPr>
        <w:shd w:val="clear" w:color="auto" w:fill="FFFFFF"/>
        <w:spacing w:after="100" w:afterAutospacing="1" w:line="360" w:lineRule="auto"/>
        <w:jc w:val="center"/>
        <w:rPr>
          <w:rFonts w:eastAsia="Times New Roman" w:cs="Times New Roman"/>
          <w:szCs w:val="24"/>
          <w:lang w:eastAsia="es-CO"/>
        </w:rPr>
      </w:pPr>
      <w:r w:rsidRPr="00740C42">
        <w:rPr>
          <w:rFonts w:eastAsia="Times New Roman" w:cs="Times New Roman"/>
          <w:b/>
          <w:bCs/>
          <w:szCs w:val="24"/>
          <w:lang w:eastAsia="es-CO"/>
        </w:rPr>
        <w:t>DIAN</w:t>
      </w:r>
    </w:p>
    <w:p w14:paraId="1A6D7567" w14:textId="6E51E154"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b/>
          <w:bCs/>
          <w:szCs w:val="24"/>
          <w:lang w:eastAsia="es-CO"/>
        </w:rPr>
        <w:t>Tema                         </w:t>
      </w:r>
    </w:p>
    <w:p w14:paraId="743DB606"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Procedimiento tributario</w:t>
      </w:r>
    </w:p>
    <w:p w14:paraId="7E7CFA90"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b/>
          <w:bCs/>
          <w:szCs w:val="24"/>
          <w:lang w:eastAsia="es-CO"/>
        </w:rPr>
        <w:t>Descriptores            </w:t>
      </w:r>
    </w:p>
    <w:p w14:paraId="1BA56638" w14:textId="563E4375"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Declaraciones   tributarias   presentadas   por los no obligados a declarar</w:t>
      </w:r>
    </w:p>
    <w:p w14:paraId="334F2838" w14:textId="77777777" w:rsidR="00740C42" w:rsidRPr="009026FE" w:rsidRDefault="00740C42" w:rsidP="00740C42">
      <w:pPr>
        <w:shd w:val="clear" w:color="auto" w:fill="FFFFFF"/>
        <w:spacing w:after="100" w:afterAutospacing="1" w:line="240" w:lineRule="atLeast"/>
        <w:jc w:val="both"/>
        <w:rPr>
          <w:rFonts w:eastAsia="Times New Roman" w:cs="Times New Roman"/>
          <w:b/>
          <w:bCs/>
          <w:szCs w:val="24"/>
          <w:lang w:eastAsia="es-CO"/>
        </w:rPr>
      </w:pPr>
      <w:r w:rsidRPr="009026FE">
        <w:rPr>
          <w:rFonts w:eastAsia="Times New Roman" w:cs="Times New Roman"/>
          <w:b/>
          <w:bCs/>
          <w:szCs w:val="24"/>
          <w:lang w:eastAsia="es-CO"/>
        </w:rPr>
        <w:t>Declaraciones de retención en la fuente – ineficacia</w:t>
      </w:r>
    </w:p>
    <w:p w14:paraId="7EC6B6D2" w14:textId="77777777" w:rsidR="00740C42" w:rsidRPr="00740C42" w:rsidRDefault="00740C42" w:rsidP="00740C42">
      <w:pPr>
        <w:shd w:val="clear" w:color="auto" w:fill="FFFFFF"/>
        <w:spacing w:after="100" w:afterAutospacing="1" w:line="240" w:lineRule="atLeast"/>
        <w:jc w:val="both"/>
        <w:rPr>
          <w:rFonts w:eastAsia="Times New Roman" w:cs="Times New Roman"/>
          <w:szCs w:val="24"/>
          <w:lang w:eastAsia="es-CO"/>
        </w:rPr>
      </w:pPr>
      <w:r w:rsidRPr="00740C42">
        <w:rPr>
          <w:rFonts w:eastAsia="Times New Roman" w:cs="Times New Roman"/>
          <w:szCs w:val="24"/>
          <w:lang w:eastAsia="es-CO"/>
        </w:rPr>
        <w:t>Corrección de las declaraciones tributarias</w:t>
      </w:r>
    </w:p>
    <w:p w14:paraId="28608542"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b/>
          <w:bCs/>
          <w:szCs w:val="24"/>
          <w:lang w:eastAsia="es-CO"/>
        </w:rPr>
        <w:t>Fuentes formales</w:t>
      </w:r>
    </w:p>
    <w:p w14:paraId="19E50F45"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Artículos 580-1 y 594-2 del Estatuto Tributario</w:t>
      </w:r>
    </w:p>
    <w:p w14:paraId="038778D3"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Artículo 43 de la Ley 962 de 2005</w:t>
      </w:r>
    </w:p>
    <w:p w14:paraId="7F32F750"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6146AEE6" w14:textId="090F4985"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Mediante   el   radicado   de   la   referencia, el   peticionario   formula   unos interrogantes relacionados con las declaraciones de retención en la fuente, los cuales se resolverán cada uno a su turno.</w:t>
      </w:r>
    </w:p>
    <w:p w14:paraId="6FB08AB0" w14:textId="77777777" w:rsidR="00740C42" w:rsidRPr="009026FE" w:rsidRDefault="00740C42" w:rsidP="00740C42">
      <w:pPr>
        <w:numPr>
          <w:ilvl w:val="0"/>
          <w:numId w:val="1"/>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9026FE">
        <w:rPr>
          <w:rFonts w:eastAsia="Times New Roman" w:cs="Times New Roman"/>
          <w:b/>
          <w:bCs/>
          <w:i/>
          <w:iCs/>
          <w:szCs w:val="24"/>
          <w:highlight w:val="yellow"/>
          <w:lang w:eastAsia="es-CO"/>
        </w:rPr>
        <w:t>“¿Puede proferirse un acto administrativo para dar de baja las declaraciones de retención en la fuente, presentadas sin pago, erróneamente por un no obligado?” </w:t>
      </w:r>
      <w:r w:rsidRPr="009026FE">
        <w:rPr>
          <w:rFonts w:eastAsia="Times New Roman" w:cs="Times New Roman"/>
          <w:b/>
          <w:bCs/>
          <w:szCs w:val="24"/>
          <w:highlight w:val="yellow"/>
          <w:lang w:eastAsia="es-CO"/>
        </w:rPr>
        <w:t>(subrayado fuera de texto)</w:t>
      </w:r>
    </w:p>
    <w:p w14:paraId="62C579AC" w14:textId="5408F6D3"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szCs w:val="24"/>
          <w:highlight w:val="yellow"/>
          <w:lang w:eastAsia="es-CO"/>
        </w:rPr>
        <w:t xml:space="preserve">El artículo 594-2 del Estatuto </w:t>
      </w:r>
      <w:r w:rsidR="009026FE" w:rsidRPr="009026FE">
        <w:rPr>
          <w:rFonts w:eastAsia="Times New Roman" w:cs="Times New Roman"/>
          <w:szCs w:val="24"/>
          <w:highlight w:val="yellow"/>
          <w:lang w:eastAsia="es-CO"/>
        </w:rPr>
        <w:t xml:space="preserve">Tributario </w:t>
      </w:r>
      <w:proofErr w:type="gramStart"/>
      <w:r w:rsidR="009026FE" w:rsidRPr="009026FE">
        <w:rPr>
          <w:rFonts w:eastAsia="Times New Roman" w:cs="Times New Roman"/>
          <w:szCs w:val="24"/>
          <w:highlight w:val="yellow"/>
          <w:lang w:eastAsia="es-CO"/>
        </w:rPr>
        <w:t>establece</w:t>
      </w:r>
      <w:r w:rsidRPr="009026FE">
        <w:rPr>
          <w:rFonts w:eastAsia="Times New Roman" w:cs="Times New Roman"/>
          <w:szCs w:val="24"/>
          <w:highlight w:val="yellow"/>
          <w:lang w:eastAsia="es-CO"/>
        </w:rPr>
        <w:t xml:space="preserve">  que</w:t>
      </w:r>
      <w:proofErr w:type="gramEnd"/>
      <w:r w:rsidRPr="009026FE">
        <w:rPr>
          <w:rFonts w:eastAsia="Times New Roman" w:cs="Times New Roman"/>
          <w:szCs w:val="24"/>
          <w:highlight w:val="yellow"/>
          <w:lang w:eastAsia="es-CO"/>
        </w:rPr>
        <w:t>  </w:t>
      </w:r>
      <w:r w:rsidRPr="009026FE">
        <w:rPr>
          <w:rFonts w:eastAsia="Times New Roman" w:cs="Times New Roman"/>
          <w:i/>
          <w:iCs/>
          <w:szCs w:val="24"/>
          <w:highlight w:val="yellow"/>
          <w:lang w:eastAsia="es-CO"/>
        </w:rPr>
        <w:t>“Las  declaraciones tributarias presentadas por los no obligados a declarar no producirán efecto legal alguno” </w:t>
      </w:r>
      <w:r w:rsidRPr="009026FE">
        <w:rPr>
          <w:rFonts w:eastAsia="Times New Roman" w:cs="Times New Roman"/>
          <w:szCs w:val="24"/>
          <w:highlight w:val="yellow"/>
          <w:lang w:eastAsia="es-CO"/>
        </w:rPr>
        <w:t>(subrayado fuera de texto); hipótesis en la que se subsume una declaración de retención en la fuente presentada por quien no tiene la calidad de agente de retención.</w:t>
      </w:r>
    </w:p>
    <w:p w14:paraId="4CD99F83"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Ahora bien, en el Oficio 005603 de enero 25 de 2007 se indicó:</w:t>
      </w:r>
    </w:p>
    <w:p w14:paraId="53C9513C" w14:textId="3A61C78B"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i/>
          <w:iCs/>
          <w:szCs w:val="24"/>
          <w:highlight w:val="yellow"/>
          <w:lang w:eastAsia="es-CO"/>
        </w:rPr>
        <w:lastRenderedPageBreak/>
        <w:t xml:space="preserve">“(…) mediante el Concepto No. </w:t>
      </w:r>
      <w:r w:rsidR="009026FE" w:rsidRPr="009026FE">
        <w:rPr>
          <w:rFonts w:eastAsia="Times New Roman" w:cs="Times New Roman"/>
          <w:i/>
          <w:iCs/>
          <w:szCs w:val="24"/>
          <w:highlight w:val="yellow"/>
          <w:lang w:eastAsia="es-CO"/>
        </w:rPr>
        <w:t>091352 del</w:t>
      </w:r>
      <w:r w:rsidRPr="009026FE">
        <w:rPr>
          <w:rFonts w:eastAsia="Times New Roman" w:cs="Times New Roman"/>
          <w:i/>
          <w:iCs/>
          <w:szCs w:val="24"/>
          <w:highlight w:val="yellow"/>
          <w:lang w:eastAsia="es-CO"/>
        </w:rPr>
        <w:t xml:space="preserve"> 11 de </w:t>
      </w:r>
      <w:proofErr w:type="gramStart"/>
      <w:r w:rsidRPr="009026FE">
        <w:rPr>
          <w:rFonts w:eastAsia="Times New Roman" w:cs="Times New Roman"/>
          <w:i/>
          <w:iCs/>
          <w:szCs w:val="24"/>
          <w:highlight w:val="yellow"/>
          <w:lang w:eastAsia="es-CO"/>
        </w:rPr>
        <w:t>octubre  de</w:t>
      </w:r>
      <w:proofErr w:type="gramEnd"/>
      <w:r w:rsidRPr="009026FE">
        <w:rPr>
          <w:rFonts w:eastAsia="Times New Roman" w:cs="Times New Roman"/>
          <w:i/>
          <w:iCs/>
          <w:szCs w:val="24"/>
          <w:highlight w:val="yellow"/>
          <w:lang w:eastAsia="es-CO"/>
        </w:rPr>
        <w:t xml:space="preserve"> 2001,  se aclaró la doctrina expuesta en el Concepto No. 078742 del 29 de agosto de 2001 precisando que en los casos previstos en el citado artículo 594-2, no hay lugar a proferir ‘auto declarativo’ sino que:</w:t>
      </w:r>
    </w:p>
    <w:p w14:paraId="6D3E532B" w14:textId="13E24961"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9026FE">
        <w:rPr>
          <w:rFonts w:eastAsia="Times New Roman" w:cs="Times New Roman"/>
          <w:b/>
          <w:bCs/>
          <w:i/>
          <w:iCs/>
          <w:szCs w:val="24"/>
          <w:highlight w:val="yellow"/>
          <w:lang w:eastAsia="es-CO"/>
        </w:rPr>
        <w:t>‘El acto administrativo… por el cual se declara que no había obligación de </w:t>
      </w:r>
      <w:proofErr w:type="gramStart"/>
      <w:r w:rsidRPr="009026FE">
        <w:rPr>
          <w:rFonts w:eastAsia="Times New Roman" w:cs="Times New Roman"/>
          <w:b/>
          <w:bCs/>
          <w:i/>
          <w:iCs/>
          <w:szCs w:val="24"/>
          <w:highlight w:val="yellow"/>
          <w:lang w:eastAsia="es-CO"/>
        </w:rPr>
        <w:t>declarar,  debe</w:t>
      </w:r>
      <w:proofErr w:type="gramEnd"/>
      <w:r w:rsidRPr="009026FE">
        <w:rPr>
          <w:rFonts w:eastAsia="Times New Roman" w:cs="Times New Roman"/>
          <w:b/>
          <w:bCs/>
          <w:i/>
          <w:iCs/>
          <w:szCs w:val="24"/>
          <w:highlight w:val="yellow"/>
          <w:lang w:eastAsia="es-CO"/>
        </w:rPr>
        <w:t> </w:t>
      </w:r>
      <w:r w:rsidR="009026FE" w:rsidRPr="009026FE">
        <w:rPr>
          <w:rFonts w:eastAsia="Times New Roman" w:cs="Times New Roman"/>
          <w:b/>
          <w:bCs/>
          <w:i/>
          <w:iCs/>
          <w:szCs w:val="24"/>
          <w:highlight w:val="yellow"/>
          <w:lang w:eastAsia="es-CO"/>
        </w:rPr>
        <w:t xml:space="preserve"> </w:t>
      </w:r>
      <w:r w:rsidRPr="009026FE">
        <w:rPr>
          <w:rFonts w:eastAsia="Times New Roman" w:cs="Times New Roman"/>
          <w:b/>
          <w:bCs/>
          <w:i/>
          <w:iCs/>
          <w:szCs w:val="24"/>
          <w:highlight w:val="yellow"/>
          <w:lang w:eastAsia="es-CO"/>
        </w:rPr>
        <w:t>producirse    dentro    del    proceso que    adelante    la Administración, es decir, en el que se aduzca como prueba y se discuta la validez de las (sic) declaración p</w:t>
      </w:r>
      <w:r w:rsidR="009026FE" w:rsidRPr="009026FE">
        <w:rPr>
          <w:rFonts w:eastAsia="Times New Roman" w:cs="Times New Roman"/>
          <w:b/>
          <w:bCs/>
          <w:i/>
          <w:iCs/>
          <w:szCs w:val="24"/>
          <w:highlight w:val="yellow"/>
          <w:lang w:eastAsia="es-CO"/>
        </w:rPr>
        <w:t>r</w:t>
      </w:r>
      <w:r w:rsidRPr="009026FE">
        <w:rPr>
          <w:rFonts w:eastAsia="Times New Roman" w:cs="Times New Roman"/>
          <w:b/>
          <w:bCs/>
          <w:i/>
          <w:iCs/>
          <w:szCs w:val="24"/>
          <w:highlight w:val="yellow"/>
          <w:lang w:eastAsia="es-CO"/>
        </w:rPr>
        <w:t>esentada, ya sea en el proceso de devolución de los saldos liquidados en las declaraciones tributarias, en el proceso de cobro o en el proceso de corrección voluntaria del artículo 589 del Estatuto Tributario</w:t>
      </w:r>
      <w:r w:rsidRPr="00740C42">
        <w:rPr>
          <w:rFonts w:eastAsia="Times New Roman" w:cs="Times New Roman"/>
          <w:i/>
          <w:iCs/>
          <w:szCs w:val="24"/>
          <w:lang w:eastAsia="es-CO"/>
        </w:rPr>
        <w:t>.’</w:t>
      </w:r>
    </w:p>
    <w:p w14:paraId="0B0999CD" w14:textId="1621AF95"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i/>
          <w:iCs/>
          <w:szCs w:val="24"/>
          <w:lang w:eastAsia="es-CO"/>
        </w:rPr>
        <w:t>Para efectos de determinar la </w:t>
      </w:r>
      <w:r w:rsidR="009026FE" w:rsidRPr="00740C42">
        <w:rPr>
          <w:rFonts w:eastAsia="Times New Roman" w:cs="Times New Roman"/>
          <w:i/>
          <w:iCs/>
          <w:szCs w:val="24"/>
          <w:lang w:eastAsia="es-CO"/>
        </w:rPr>
        <w:t xml:space="preserve">calidad </w:t>
      </w:r>
      <w:proofErr w:type="gramStart"/>
      <w:r w:rsidR="009026FE" w:rsidRPr="00740C42">
        <w:rPr>
          <w:rFonts w:eastAsia="Times New Roman" w:cs="Times New Roman"/>
          <w:i/>
          <w:iCs/>
          <w:szCs w:val="24"/>
          <w:lang w:eastAsia="es-CO"/>
        </w:rPr>
        <w:t>de</w:t>
      </w:r>
      <w:r w:rsidRPr="00740C42">
        <w:rPr>
          <w:rFonts w:eastAsia="Times New Roman" w:cs="Times New Roman"/>
          <w:i/>
          <w:iCs/>
          <w:szCs w:val="24"/>
          <w:lang w:eastAsia="es-CO"/>
        </w:rPr>
        <w:t xml:space="preserve">  no</w:t>
      </w:r>
      <w:proofErr w:type="gramEnd"/>
      <w:r w:rsidRPr="00740C42">
        <w:rPr>
          <w:rFonts w:eastAsia="Times New Roman" w:cs="Times New Roman"/>
          <w:i/>
          <w:iCs/>
          <w:szCs w:val="24"/>
          <w:lang w:eastAsia="es-CO"/>
        </w:rPr>
        <w:t xml:space="preserve">  responsable  y/o  de  no declarante de un contribuyente y en consecuencia si la declaración presentada produce efectos jurídicos, el interesado </w:t>
      </w:r>
      <w:proofErr w:type="spellStart"/>
      <w:r w:rsidRPr="00740C42">
        <w:rPr>
          <w:rFonts w:eastAsia="Times New Roman" w:cs="Times New Roman"/>
          <w:i/>
          <w:iCs/>
          <w:szCs w:val="24"/>
          <w:lang w:eastAsia="es-CO"/>
        </w:rPr>
        <w:t>puedeutilizartodoslos</w:t>
      </w:r>
      <w:proofErr w:type="spellEnd"/>
      <w:r w:rsidRPr="00740C42">
        <w:rPr>
          <w:rFonts w:eastAsia="Times New Roman" w:cs="Times New Roman"/>
          <w:i/>
          <w:iCs/>
          <w:szCs w:val="24"/>
          <w:lang w:eastAsia="es-CO"/>
        </w:rPr>
        <w:t xml:space="preserve"> medios   probatorios  señalados  en  la  ley  tributaria  o  en  el  Código  de Procedimiento Civil en la medida en que estos sean compatibles con aquellos. En el momento en que se requiera por parte de la Administración Tributaria competente, se deben aportar las pruebas que se consideren conducentes </w:t>
      </w:r>
      <w:proofErr w:type="gramStart"/>
      <w:r w:rsidRPr="00740C42">
        <w:rPr>
          <w:rFonts w:eastAsia="Times New Roman" w:cs="Times New Roman"/>
          <w:i/>
          <w:iCs/>
          <w:szCs w:val="24"/>
          <w:lang w:eastAsia="es-CO"/>
        </w:rPr>
        <w:t>para  llevar</w:t>
      </w:r>
      <w:proofErr w:type="gramEnd"/>
      <w:r w:rsidRPr="00740C42">
        <w:rPr>
          <w:rFonts w:eastAsia="Times New Roman" w:cs="Times New Roman"/>
          <w:i/>
          <w:iCs/>
          <w:szCs w:val="24"/>
          <w:lang w:eastAsia="es-CO"/>
        </w:rPr>
        <w:t xml:space="preserve">  al convencimiento  de la existencia  o no de la obligación de declarar correspondiéndole al funcionario justipreciar el valor probatorio correspondiente”. </w:t>
      </w:r>
      <w:r w:rsidRPr="00740C42">
        <w:rPr>
          <w:rFonts w:eastAsia="Times New Roman" w:cs="Times New Roman"/>
          <w:szCs w:val="24"/>
          <w:lang w:eastAsia="es-CO"/>
        </w:rPr>
        <w:t>(Subrayado fuera de texto).</w:t>
      </w:r>
    </w:p>
    <w:p w14:paraId="0A5E06A6" w14:textId="1385BABE" w:rsidR="00740C42" w:rsidRPr="00DB5EFE" w:rsidRDefault="00740C42" w:rsidP="00740C42">
      <w:pPr>
        <w:numPr>
          <w:ilvl w:val="0"/>
          <w:numId w:val="2"/>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b/>
          <w:bCs/>
          <w:i/>
          <w:iCs/>
          <w:szCs w:val="24"/>
          <w:highlight w:val="yellow"/>
          <w:lang w:eastAsia="es-CO"/>
        </w:rPr>
        <w:t>“¿Cuándo (sic) se presenta sin pago una declaración de retención en la fuente y luego el agente de retención presenta con pago otra con un valor a pagar inferior a la primera, alegando que este es el valor real para pagar, podría darse de baja la primera declaración?” </w:t>
      </w:r>
      <w:r w:rsidRPr="00DB5EFE">
        <w:rPr>
          <w:rFonts w:eastAsia="Times New Roman" w:cs="Times New Roman"/>
          <w:b/>
          <w:bCs/>
          <w:szCs w:val="24"/>
          <w:highlight w:val="yellow"/>
          <w:lang w:eastAsia="es-CO"/>
        </w:rPr>
        <w:t>(subrayado fuera de texto)</w:t>
      </w:r>
    </w:p>
    <w:p w14:paraId="5431B21F" w14:textId="77777777" w:rsidR="00740C42" w:rsidRPr="00DB5EFE" w:rsidRDefault="00740C42" w:rsidP="00740C42">
      <w:pPr>
        <w:shd w:val="clear" w:color="auto" w:fill="FFFFFF"/>
        <w:spacing w:after="100" w:afterAutospacing="1" w:line="360" w:lineRule="auto"/>
        <w:jc w:val="both"/>
        <w:rPr>
          <w:rFonts w:eastAsia="Times New Roman" w:cs="Times New Roman"/>
          <w:szCs w:val="24"/>
          <w:highlight w:val="yellow"/>
          <w:lang w:eastAsia="es-CO"/>
        </w:rPr>
      </w:pPr>
      <w:r w:rsidRPr="00DB5EFE">
        <w:rPr>
          <w:rFonts w:eastAsia="Times New Roman" w:cs="Times New Roman"/>
          <w:szCs w:val="24"/>
          <w:highlight w:val="yellow"/>
          <w:lang w:eastAsia="es-CO"/>
        </w:rPr>
        <w:t>Del artículo 580-1 del Estatuto Tributario se destaca lo siguiente:</w:t>
      </w:r>
    </w:p>
    <w:p w14:paraId="118B225C" w14:textId="0C59C326" w:rsidR="00740C42" w:rsidRPr="00DB5EFE" w:rsidRDefault="00740C42"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i/>
          <w:iCs/>
          <w:szCs w:val="24"/>
          <w:highlight w:val="yellow"/>
          <w:lang w:eastAsia="es-CO"/>
        </w:rPr>
        <w:t>“Las declaraciones de retención en la fuente presentadas sin pago total   no    producirán   efecto   legal   alguno, sin   necesidad   de   acto administrativo que así lo declare” </w:t>
      </w:r>
      <w:r w:rsidRPr="00DB5EFE">
        <w:rPr>
          <w:rFonts w:eastAsia="Times New Roman" w:cs="Times New Roman"/>
          <w:szCs w:val="24"/>
          <w:highlight w:val="yellow"/>
          <w:lang w:eastAsia="es-CO"/>
        </w:rPr>
        <w:t>(subrayado fuera de texto).</w:t>
      </w:r>
    </w:p>
    <w:p w14:paraId="6AA03E27" w14:textId="77777777" w:rsidR="00DB5EFE" w:rsidRPr="00DB5EFE" w:rsidRDefault="00DB5EFE"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p>
    <w:p w14:paraId="21B1E7C2" w14:textId="00BD60AD" w:rsidR="00740C42" w:rsidRPr="00DB5EFE" w:rsidRDefault="00740C42" w:rsidP="00740C42">
      <w:pPr>
        <w:numPr>
          <w:ilvl w:val="0"/>
          <w:numId w:val="3"/>
        </w:numPr>
        <w:shd w:val="clear" w:color="auto" w:fill="FFFFFF"/>
        <w:spacing w:before="100" w:beforeAutospacing="1" w:after="100" w:afterAutospacing="1" w:line="360" w:lineRule="auto"/>
        <w:jc w:val="both"/>
        <w:rPr>
          <w:rFonts w:eastAsia="Times New Roman" w:cs="Times New Roman"/>
          <w:szCs w:val="24"/>
          <w:highlight w:val="yellow"/>
          <w:lang w:eastAsia="es-CO"/>
        </w:rPr>
      </w:pPr>
      <w:r w:rsidRPr="00DB5EFE">
        <w:rPr>
          <w:rFonts w:eastAsia="Times New Roman" w:cs="Times New Roman"/>
          <w:i/>
          <w:iCs/>
          <w:szCs w:val="24"/>
          <w:highlight w:val="yellow"/>
          <w:lang w:eastAsia="es-CO"/>
        </w:rPr>
        <w:t xml:space="preserve">“(…)  mientras el contribuyente no </w:t>
      </w:r>
      <w:r w:rsidR="00DB5EFE" w:rsidRPr="00DB5EFE">
        <w:rPr>
          <w:rFonts w:eastAsia="Times New Roman" w:cs="Times New Roman"/>
          <w:i/>
          <w:iCs/>
          <w:szCs w:val="24"/>
          <w:highlight w:val="yellow"/>
          <w:lang w:eastAsia="es-CO"/>
        </w:rPr>
        <w:t xml:space="preserve">presente </w:t>
      </w:r>
      <w:proofErr w:type="gramStart"/>
      <w:r w:rsidR="00DB5EFE" w:rsidRPr="00DB5EFE">
        <w:rPr>
          <w:rFonts w:eastAsia="Times New Roman" w:cs="Times New Roman"/>
          <w:i/>
          <w:iCs/>
          <w:szCs w:val="24"/>
          <w:highlight w:val="yellow"/>
          <w:lang w:eastAsia="es-CO"/>
        </w:rPr>
        <w:t>nuevamente</w:t>
      </w:r>
      <w:r w:rsidRPr="00DB5EFE">
        <w:rPr>
          <w:rFonts w:eastAsia="Times New Roman" w:cs="Times New Roman"/>
          <w:i/>
          <w:iCs/>
          <w:szCs w:val="24"/>
          <w:highlight w:val="yellow"/>
          <w:lang w:eastAsia="es-CO"/>
        </w:rPr>
        <w:t xml:space="preserve">  la</w:t>
      </w:r>
      <w:proofErr w:type="gramEnd"/>
      <w:r w:rsidRPr="00DB5EFE">
        <w:rPr>
          <w:rFonts w:eastAsia="Times New Roman" w:cs="Times New Roman"/>
          <w:i/>
          <w:iCs/>
          <w:szCs w:val="24"/>
          <w:highlight w:val="yellow"/>
          <w:lang w:eastAsia="es-CO"/>
        </w:rPr>
        <w:t xml:space="preserve"> declaración   de   retención   en   la   fuente   con   el   pago   respectivo,   la declaración inicialmente presentada se entiende como documento que reconoce una obligación clara, </w:t>
      </w:r>
      <w:proofErr w:type="spellStart"/>
      <w:r w:rsidRPr="00DB5EFE">
        <w:rPr>
          <w:rFonts w:eastAsia="Times New Roman" w:cs="Times New Roman"/>
          <w:i/>
          <w:iCs/>
          <w:szCs w:val="24"/>
          <w:highlight w:val="yellow"/>
          <w:lang w:eastAsia="es-CO"/>
        </w:rPr>
        <w:t>exp</w:t>
      </w:r>
      <w:proofErr w:type="spellEnd"/>
      <w:r w:rsidRPr="00DB5EFE">
        <w:rPr>
          <w:rFonts w:eastAsia="Times New Roman" w:cs="Times New Roman"/>
          <w:i/>
          <w:iCs/>
          <w:szCs w:val="24"/>
          <w:highlight w:val="yellow"/>
          <w:lang w:eastAsia="es-CO"/>
        </w:rPr>
        <w:t xml:space="preserve"> </w:t>
      </w:r>
      <w:proofErr w:type="spellStart"/>
      <w:r w:rsidRPr="00DB5EFE">
        <w:rPr>
          <w:rFonts w:eastAsia="Times New Roman" w:cs="Times New Roman"/>
          <w:i/>
          <w:iCs/>
          <w:szCs w:val="24"/>
          <w:highlight w:val="yellow"/>
          <w:lang w:eastAsia="es-CO"/>
        </w:rPr>
        <w:t>resa</w:t>
      </w:r>
      <w:proofErr w:type="spellEnd"/>
      <w:r w:rsidRPr="00DB5EFE">
        <w:rPr>
          <w:rFonts w:eastAsia="Times New Roman" w:cs="Times New Roman"/>
          <w:i/>
          <w:iCs/>
          <w:szCs w:val="24"/>
          <w:highlight w:val="yellow"/>
          <w:lang w:eastAsia="es-CO"/>
        </w:rPr>
        <w:t> y exigible que podrá ser utilizado por la Administración  Tributaria  en los procesos  de cobro coactivo,  aun cuando en el sistema la declaración tenga una marca de ineficaz para el agente retenedor (…)” </w:t>
      </w:r>
      <w:r w:rsidRPr="00DB5EFE">
        <w:rPr>
          <w:rFonts w:eastAsia="Times New Roman" w:cs="Times New Roman"/>
          <w:szCs w:val="24"/>
          <w:highlight w:val="yellow"/>
          <w:lang w:eastAsia="es-CO"/>
        </w:rPr>
        <w:t>(subrayado fuera de texto).</w:t>
      </w:r>
    </w:p>
    <w:p w14:paraId="4114CA21" w14:textId="6292ED8D"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 xml:space="preserve">Asumiendo que la Administración Tributaria no ejerció la acción de cobro de la obligación fiscal contenida en la primera declaración de </w:t>
      </w:r>
      <w:r w:rsidR="00DB5EFE" w:rsidRPr="00740C42">
        <w:rPr>
          <w:rFonts w:eastAsia="Times New Roman" w:cs="Times New Roman"/>
          <w:szCs w:val="24"/>
          <w:lang w:eastAsia="es-CO"/>
        </w:rPr>
        <w:t>retención en</w:t>
      </w:r>
      <w:r w:rsidRPr="00740C42">
        <w:rPr>
          <w:rFonts w:eastAsia="Times New Roman" w:cs="Times New Roman"/>
          <w:szCs w:val="24"/>
          <w:lang w:eastAsia="es-CO"/>
        </w:rPr>
        <w:t xml:space="preserve"> la fuente (ineficaz) para cuando el agente de retención la presentó nuevamente, es de colegir que el proceso de fiscalización, liquidación, discusión y cobro de las respectivas retenciones en la fuente se circunscribirá a esta última.</w:t>
      </w:r>
    </w:p>
    <w:p w14:paraId="559B26DC" w14:textId="77777777"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lastRenderedPageBreak/>
        <w:t>No sobra anotar que, para efectos de lo anterior, es menester que la segunda declaración de retención en la fuente se haya presentado acompañada del pago respectivo, esto es, el pago total por concepto de las retenciones en la fuente liquidadas en la misma, junto con los intereses de mora y la sanción que sean del caso, tal y como fuera manifestado en el Oficio 905544 – interno 840 de junio 16 de 2021:</w:t>
      </w:r>
    </w:p>
    <w:p w14:paraId="3C2E9BB7" w14:textId="3479EA6A"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i/>
          <w:iCs/>
          <w:szCs w:val="24"/>
          <w:lang w:eastAsia="es-CO"/>
        </w:rPr>
        <w:t xml:space="preserve">“(…) la Administración Tributaria no podrá iniciar un proceso de cobro coactivo sobre la obligación reconocida en la declaración de retención en la fuente inicialmente </w:t>
      </w:r>
      <w:r w:rsidR="005E5409" w:rsidRPr="00740C42">
        <w:rPr>
          <w:rFonts w:eastAsia="Times New Roman" w:cs="Times New Roman"/>
          <w:i/>
          <w:iCs/>
          <w:szCs w:val="24"/>
          <w:lang w:eastAsia="es-CO"/>
        </w:rPr>
        <w:t>presentada (</w:t>
      </w:r>
      <w:proofErr w:type="gramStart"/>
      <w:r w:rsidRPr="00740C42">
        <w:rPr>
          <w:rFonts w:eastAsia="Times New Roman" w:cs="Times New Roman"/>
          <w:i/>
          <w:iCs/>
          <w:szCs w:val="24"/>
          <w:lang w:eastAsia="es-CO"/>
        </w:rPr>
        <w:t>el  15</w:t>
      </w:r>
      <w:proofErr w:type="gramEnd"/>
      <w:r w:rsidRPr="00740C42">
        <w:rPr>
          <w:rFonts w:eastAsia="Times New Roman" w:cs="Times New Roman"/>
          <w:i/>
          <w:iCs/>
          <w:szCs w:val="24"/>
          <w:lang w:eastAsia="es-CO"/>
        </w:rPr>
        <w:t xml:space="preserve">  de  marzo  de  2020,  según  la hipótesis planteada) y que es ineficaz, una vez sea presentada extemporáneamente (el 12 de diciembre de 2020, según la hipótesis planteada) la declaración de retención en la fuente con pago total. Nótese que el pago total de la segunda declaración deberá incluir la totalidad de la retención   </w:t>
      </w:r>
      <w:r w:rsidR="00DB5EFE" w:rsidRPr="00740C42">
        <w:rPr>
          <w:rFonts w:eastAsia="Times New Roman" w:cs="Times New Roman"/>
          <w:i/>
          <w:iCs/>
          <w:szCs w:val="24"/>
          <w:lang w:eastAsia="es-CO"/>
        </w:rPr>
        <w:t>debida, así</w:t>
      </w:r>
      <w:r w:rsidRPr="00740C42">
        <w:rPr>
          <w:rFonts w:eastAsia="Times New Roman" w:cs="Times New Roman"/>
          <w:i/>
          <w:iCs/>
          <w:szCs w:val="24"/>
          <w:lang w:eastAsia="es-CO"/>
        </w:rPr>
        <w:t>   como   la   sanción   y   los   intereses   moratorios correspondientes”. </w:t>
      </w:r>
      <w:r w:rsidRPr="00740C42">
        <w:rPr>
          <w:rFonts w:eastAsia="Times New Roman" w:cs="Times New Roman"/>
          <w:szCs w:val="24"/>
          <w:lang w:eastAsia="es-CO"/>
        </w:rPr>
        <w:t>(Subrayado fuera de texto).</w:t>
      </w:r>
    </w:p>
    <w:p w14:paraId="6318947E" w14:textId="758AA2CB"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 xml:space="preserve">En cuanto a la </w:t>
      </w:r>
      <w:r w:rsidR="005E5409" w:rsidRPr="00740C42">
        <w:rPr>
          <w:rFonts w:eastAsia="Times New Roman" w:cs="Times New Roman"/>
          <w:szCs w:val="24"/>
          <w:lang w:eastAsia="es-CO"/>
        </w:rPr>
        <w:t>primera declaración de</w:t>
      </w:r>
      <w:r w:rsidRPr="00740C42">
        <w:rPr>
          <w:rFonts w:eastAsia="Times New Roman" w:cs="Times New Roman"/>
          <w:szCs w:val="24"/>
          <w:lang w:eastAsia="es-CO"/>
        </w:rPr>
        <w:t xml:space="preserve"> </w:t>
      </w:r>
      <w:r w:rsidR="005E5409" w:rsidRPr="00740C42">
        <w:rPr>
          <w:rFonts w:eastAsia="Times New Roman" w:cs="Times New Roman"/>
          <w:szCs w:val="24"/>
          <w:lang w:eastAsia="es-CO"/>
        </w:rPr>
        <w:t>retención en</w:t>
      </w:r>
      <w:r w:rsidRPr="00740C42">
        <w:rPr>
          <w:rFonts w:eastAsia="Times New Roman" w:cs="Times New Roman"/>
          <w:szCs w:val="24"/>
          <w:lang w:eastAsia="es-CO"/>
        </w:rPr>
        <w:t xml:space="preserve"> la </w:t>
      </w:r>
      <w:r w:rsidR="005E5409" w:rsidRPr="00740C42">
        <w:rPr>
          <w:rFonts w:eastAsia="Times New Roman" w:cs="Times New Roman"/>
          <w:szCs w:val="24"/>
          <w:lang w:eastAsia="es-CO"/>
        </w:rPr>
        <w:t>fuente, es</w:t>
      </w:r>
      <w:r w:rsidRPr="00740C42">
        <w:rPr>
          <w:rFonts w:eastAsia="Times New Roman" w:cs="Times New Roman"/>
          <w:szCs w:val="24"/>
          <w:lang w:eastAsia="es-CO"/>
        </w:rPr>
        <w:t xml:space="preserve"> preciso </w:t>
      </w:r>
      <w:r w:rsidR="005E5409" w:rsidRPr="00740C42">
        <w:rPr>
          <w:rFonts w:eastAsia="Times New Roman" w:cs="Times New Roman"/>
          <w:szCs w:val="24"/>
          <w:lang w:eastAsia="es-CO"/>
        </w:rPr>
        <w:t xml:space="preserve">recordar </w:t>
      </w:r>
      <w:proofErr w:type="gramStart"/>
      <w:r w:rsidR="005E5409" w:rsidRPr="00740C42">
        <w:rPr>
          <w:rFonts w:eastAsia="Times New Roman" w:cs="Times New Roman"/>
          <w:szCs w:val="24"/>
          <w:lang w:eastAsia="es-CO"/>
        </w:rPr>
        <w:t>que</w:t>
      </w:r>
      <w:r w:rsidRPr="00740C42">
        <w:rPr>
          <w:rFonts w:eastAsia="Times New Roman" w:cs="Times New Roman"/>
          <w:szCs w:val="24"/>
          <w:lang w:eastAsia="es-CO"/>
        </w:rPr>
        <w:t>  esta</w:t>
      </w:r>
      <w:proofErr w:type="gramEnd"/>
      <w:r w:rsidRPr="00740C42">
        <w:rPr>
          <w:rFonts w:eastAsia="Times New Roman" w:cs="Times New Roman"/>
          <w:szCs w:val="24"/>
          <w:lang w:eastAsia="es-CO"/>
        </w:rPr>
        <w:t xml:space="preserve">  no produce  efecto  legal  alguno,  sin necesidad  de acto administrativo que así lo declare.</w:t>
      </w:r>
    </w:p>
    <w:p w14:paraId="2A84BC90" w14:textId="01552932" w:rsidR="00740C42" w:rsidRPr="00DB5EFE" w:rsidRDefault="00740C42" w:rsidP="005E5409">
      <w:pPr>
        <w:numPr>
          <w:ilvl w:val="0"/>
          <w:numId w:val="4"/>
        </w:numPr>
        <w:shd w:val="clear" w:color="auto" w:fill="FFFFFF"/>
        <w:spacing w:before="100" w:beforeAutospacing="1" w:after="100" w:afterAutospacing="1" w:line="360" w:lineRule="auto"/>
        <w:jc w:val="both"/>
        <w:rPr>
          <w:rFonts w:eastAsia="Times New Roman" w:cs="Times New Roman"/>
          <w:szCs w:val="24"/>
          <w:lang w:eastAsia="es-CO"/>
        </w:rPr>
      </w:pPr>
      <w:r w:rsidRPr="00740C42">
        <w:rPr>
          <w:rFonts w:eastAsia="Times New Roman" w:cs="Times New Roman"/>
          <w:b/>
          <w:bCs/>
          <w:i/>
          <w:iCs/>
          <w:szCs w:val="24"/>
          <w:lang w:eastAsia="es-CO"/>
        </w:rPr>
        <w:t>“¿Pueden corregirse   </w:t>
      </w:r>
      <w:r w:rsidR="005E5409" w:rsidRPr="00740C42">
        <w:rPr>
          <w:rFonts w:eastAsia="Times New Roman" w:cs="Times New Roman"/>
          <w:b/>
          <w:bCs/>
          <w:i/>
          <w:iCs/>
          <w:szCs w:val="24"/>
          <w:lang w:eastAsia="es-CO"/>
        </w:rPr>
        <w:t>por el procedimiento</w:t>
      </w:r>
      <w:r w:rsidRPr="00740C42">
        <w:rPr>
          <w:rFonts w:eastAsia="Times New Roman" w:cs="Times New Roman"/>
          <w:b/>
          <w:bCs/>
          <w:i/>
          <w:iCs/>
          <w:szCs w:val="24"/>
          <w:lang w:eastAsia="es-CO"/>
        </w:rPr>
        <w:t>   establecido   </w:t>
      </w:r>
      <w:r w:rsidR="005E5409" w:rsidRPr="00740C42">
        <w:rPr>
          <w:rFonts w:eastAsia="Times New Roman" w:cs="Times New Roman"/>
          <w:b/>
          <w:bCs/>
          <w:i/>
          <w:iCs/>
          <w:szCs w:val="24"/>
          <w:lang w:eastAsia="es-CO"/>
        </w:rPr>
        <w:t>en el</w:t>
      </w:r>
      <w:r w:rsidRPr="00740C42">
        <w:rPr>
          <w:rFonts w:eastAsia="Times New Roman" w:cs="Times New Roman"/>
          <w:b/>
          <w:bCs/>
          <w:i/>
          <w:iCs/>
          <w:szCs w:val="24"/>
          <w:lang w:eastAsia="es-CO"/>
        </w:rPr>
        <w:t xml:space="preserve"> artículo 43 de la Ley 962 de 2005, las declaraciones de retención en la </w:t>
      </w:r>
      <w:r w:rsidR="005E5409" w:rsidRPr="00740C42">
        <w:rPr>
          <w:rFonts w:eastAsia="Times New Roman" w:cs="Times New Roman"/>
          <w:b/>
          <w:bCs/>
          <w:i/>
          <w:iCs/>
          <w:szCs w:val="24"/>
          <w:lang w:eastAsia="es-CO"/>
        </w:rPr>
        <w:t xml:space="preserve">fuente </w:t>
      </w:r>
      <w:r w:rsidR="00DB5EFE" w:rsidRPr="00740C42">
        <w:rPr>
          <w:rFonts w:eastAsia="Times New Roman" w:cs="Times New Roman"/>
          <w:b/>
          <w:bCs/>
          <w:i/>
          <w:iCs/>
          <w:szCs w:val="24"/>
          <w:lang w:eastAsia="es-CO"/>
        </w:rPr>
        <w:t xml:space="preserve">que </w:t>
      </w:r>
      <w:proofErr w:type="gramStart"/>
      <w:r w:rsidR="00DB5EFE" w:rsidRPr="00740C42">
        <w:rPr>
          <w:rFonts w:eastAsia="Times New Roman" w:cs="Times New Roman"/>
          <w:b/>
          <w:bCs/>
          <w:i/>
          <w:iCs/>
          <w:szCs w:val="24"/>
          <w:lang w:eastAsia="es-CO"/>
        </w:rPr>
        <w:t>se</w:t>
      </w:r>
      <w:r w:rsidRPr="00740C42">
        <w:rPr>
          <w:rFonts w:eastAsia="Times New Roman" w:cs="Times New Roman"/>
          <w:b/>
          <w:bCs/>
          <w:i/>
          <w:iCs/>
          <w:szCs w:val="24"/>
          <w:lang w:eastAsia="es-CO"/>
        </w:rPr>
        <w:t xml:space="preserve">  presentan</w:t>
      </w:r>
      <w:proofErr w:type="gramEnd"/>
      <w:r w:rsidRPr="00740C42">
        <w:rPr>
          <w:rFonts w:eastAsia="Times New Roman" w:cs="Times New Roman"/>
          <w:b/>
          <w:bCs/>
          <w:i/>
          <w:iCs/>
          <w:szCs w:val="24"/>
          <w:lang w:eastAsia="es-CO"/>
        </w:rPr>
        <w:t xml:space="preserve">  con  error  en  el  período  o  en  el  año gravable?”</w:t>
      </w:r>
    </w:p>
    <w:p w14:paraId="02D37AAF" w14:textId="77777777" w:rsidR="00DB5EFE" w:rsidRPr="00740C42" w:rsidRDefault="00DB5EFE" w:rsidP="005E5409">
      <w:pPr>
        <w:numPr>
          <w:ilvl w:val="0"/>
          <w:numId w:val="4"/>
        </w:numPr>
        <w:shd w:val="clear" w:color="auto" w:fill="FFFFFF"/>
        <w:spacing w:before="100" w:beforeAutospacing="1" w:after="100" w:afterAutospacing="1" w:line="360" w:lineRule="auto"/>
        <w:jc w:val="both"/>
        <w:rPr>
          <w:rFonts w:eastAsia="Times New Roman" w:cs="Times New Roman"/>
          <w:szCs w:val="24"/>
          <w:lang w:eastAsia="es-CO"/>
        </w:rPr>
      </w:pPr>
    </w:p>
    <w:p w14:paraId="3F21496D" w14:textId="77777777" w:rsidR="00740C42" w:rsidRPr="00740C42" w:rsidRDefault="00740C42" w:rsidP="00740C42">
      <w:pPr>
        <w:pStyle w:val="Prrafodelista"/>
        <w:numPr>
          <w:ilvl w:val="0"/>
          <w:numId w:val="4"/>
        </w:numPr>
        <w:spacing w:line="360" w:lineRule="auto"/>
        <w:jc w:val="both"/>
        <w:rPr>
          <w:rFonts w:cs="Times New Roman"/>
        </w:rPr>
      </w:pPr>
      <w:r w:rsidRPr="00740C42">
        <w:rPr>
          <w:rFonts w:cs="Times New Roman"/>
        </w:rPr>
        <w:t>El artículo 43 de la Ley 962 de 2005 expresamente contempla que inconsistencias  “tales como omisiones  o errores en el concepto del tributo que se cancela, año y /o período gravable” (subrayado fuera de texto) en el diligenciamiento  de los  formularios  prescritos  para  el cumplimiento  de las obligaciones tributarias (como es el caso de las declaraciones de retención en  la  fuente),  podrán  ser  corregidas  de  oficio  o  a  solicitud  de  parte,  sin sanción, “para que prevalezca la verdad real sobre la formal, generada por error, siempre re y cuando  la inconsistencia  no afecte  el valor  por  declarar”</w:t>
      </w:r>
    </w:p>
    <w:p w14:paraId="409EC3F9" w14:textId="4CD28DB8" w:rsidR="00740C42" w:rsidRPr="00740C42" w:rsidRDefault="00740C42" w:rsidP="00740C42">
      <w:pPr>
        <w:shd w:val="clear" w:color="auto" w:fill="FFFFFF"/>
        <w:spacing w:after="100" w:afterAutospacing="1" w:line="360" w:lineRule="auto"/>
        <w:jc w:val="both"/>
        <w:rPr>
          <w:rFonts w:eastAsia="Times New Roman" w:cs="Times New Roman"/>
          <w:szCs w:val="24"/>
          <w:lang w:eastAsia="es-CO"/>
        </w:rPr>
      </w:pPr>
      <w:r w:rsidRPr="00740C42">
        <w:rPr>
          <w:rFonts w:eastAsia="Times New Roman" w:cs="Times New Roman"/>
          <w:szCs w:val="24"/>
          <w:lang w:eastAsia="es-CO"/>
        </w:rPr>
        <w:t>(subrayado fuera de texto).</w:t>
      </w:r>
    </w:p>
    <w:p w14:paraId="25D0F396" w14:textId="43AD762F" w:rsidR="00740C42" w:rsidRPr="00DB5EFE" w:rsidRDefault="00740C42" w:rsidP="00740C42">
      <w:pPr>
        <w:shd w:val="clear" w:color="auto" w:fill="FFFFFF"/>
        <w:spacing w:after="100" w:afterAutospacing="1" w:line="360" w:lineRule="auto"/>
        <w:jc w:val="both"/>
        <w:rPr>
          <w:rFonts w:eastAsia="Times New Roman" w:cs="Times New Roman"/>
          <w:b/>
          <w:bCs/>
          <w:szCs w:val="24"/>
          <w:lang w:eastAsia="es-CO"/>
        </w:rPr>
      </w:pPr>
      <w:r w:rsidRPr="00DB5EFE">
        <w:rPr>
          <w:rFonts w:eastAsia="Times New Roman" w:cs="Times New Roman"/>
          <w:b/>
          <w:bCs/>
          <w:szCs w:val="24"/>
          <w:lang w:eastAsia="es-CO"/>
        </w:rPr>
        <w:t xml:space="preserve">Desde luego, la </w:t>
      </w:r>
      <w:r w:rsidR="00DB5EFE" w:rsidRPr="00DB5EFE">
        <w:rPr>
          <w:rFonts w:eastAsia="Times New Roman" w:cs="Times New Roman"/>
          <w:b/>
          <w:bCs/>
          <w:szCs w:val="24"/>
          <w:lang w:eastAsia="es-CO"/>
        </w:rPr>
        <w:t xml:space="preserve">corrección </w:t>
      </w:r>
      <w:r w:rsidR="00834594" w:rsidRPr="00DB5EFE">
        <w:rPr>
          <w:rFonts w:eastAsia="Times New Roman" w:cs="Times New Roman"/>
          <w:b/>
          <w:bCs/>
          <w:szCs w:val="24"/>
          <w:lang w:eastAsia="es-CO"/>
        </w:rPr>
        <w:t>de que</w:t>
      </w:r>
      <w:r w:rsidRPr="00DB5EFE">
        <w:rPr>
          <w:rFonts w:eastAsia="Times New Roman" w:cs="Times New Roman"/>
          <w:b/>
          <w:bCs/>
          <w:szCs w:val="24"/>
          <w:lang w:eastAsia="es-CO"/>
        </w:rPr>
        <w:t xml:space="preserve">  trata  el citado  artículo  43  de  ninguna manera subsana la ineficacia de las declaraciones de retención en la fuente presentadas sin pago total.</w:t>
      </w:r>
    </w:p>
    <w:p w14:paraId="225C4CFB" w14:textId="76C7A4D5"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Atentamente,</w:t>
      </w:r>
    </w:p>
    <w:p w14:paraId="70D3EAFB" w14:textId="77777777" w:rsidR="00DB5EFE" w:rsidRDefault="00DB5EFE" w:rsidP="005E5409">
      <w:pPr>
        <w:shd w:val="clear" w:color="auto" w:fill="FFFFFF"/>
        <w:spacing w:after="0" w:line="240" w:lineRule="atLeast"/>
        <w:jc w:val="both"/>
        <w:rPr>
          <w:rFonts w:eastAsia="Times New Roman" w:cs="Times New Roman"/>
          <w:b/>
          <w:bCs/>
          <w:szCs w:val="24"/>
          <w:lang w:eastAsia="es-CO"/>
        </w:rPr>
      </w:pPr>
    </w:p>
    <w:p w14:paraId="4A01FD4B" w14:textId="3B1A08E4"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b/>
          <w:bCs/>
          <w:szCs w:val="24"/>
          <w:lang w:eastAsia="es-CO"/>
        </w:rPr>
        <w:t>NICOLÁS BERNAL ABELLA</w:t>
      </w:r>
    </w:p>
    <w:p w14:paraId="1D118BD2" w14:textId="77777777" w:rsidR="00DB5EFE" w:rsidRDefault="00DB5EFE" w:rsidP="005E5409">
      <w:pPr>
        <w:shd w:val="clear" w:color="auto" w:fill="FFFFFF"/>
        <w:spacing w:after="0" w:line="240" w:lineRule="atLeast"/>
        <w:jc w:val="both"/>
        <w:rPr>
          <w:rFonts w:eastAsia="Times New Roman" w:cs="Times New Roman"/>
          <w:szCs w:val="24"/>
          <w:lang w:eastAsia="es-CO"/>
        </w:rPr>
      </w:pPr>
    </w:p>
    <w:p w14:paraId="495F045B" w14:textId="0CEA8C35" w:rsidR="00740C42" w:rsidRP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Subdirector de Normativa y Doctrina (E) Dirección de Gestión Jurídica</w:t>
      </w:r>
    </w:p>
    <w:p w14:paraId="07D6E685" w14:textId="77777777" w:rsidR="00DB5EFE" w:rsidRDefault="00DB5EFE" w:rsidP="005E5409">
      <w:pPr>
        <w:shd w:val="clear" w:color="auto" w:fill="FFFFFF"/>
        <w:spacing w:after="0" w:line="240" w:lineRule="atLeast"/>
        <w:jc w:val="both"/>
        <w:rPr>
          <w:rFonts w:eastAsia="Times New Roman" w:cs="Times New Roman"/>
          <w:szCs w:val="24"/>
          <w:lang w:eastAsia="es-CO"/>
        </w:rPr>
      </w:pPr>
    </w:p>
    <w:p w14:paraId="4C3D8E30" w14:textId="5A563543" w:rsidR="00740C42" w:rsidRDefault="00740C42" w:rsidP="005E5409">
      <w:pPr>
        <w:shd w:val="clear" w:color="auto" w:fill="FFFFFF"/>
        <w:spacing w:after="0" w:line="240" w:lineRule="atLeast"/>
        <w:jc w:val="both"/>
        <w:rPr>
          <w:rFonts w:eastAsia="Times New Roman" w:cs="Times New Roman"/>
          <w:szCs w:val="24"/>
          <w:lang w:eastAsia="es-CO"/>
        </w:rPr>
      </w:pPr>
      <w:r w:rsidRPr="00740C42">
        <w:rPr>
          <w:rFonts w:eastAsia="Times New Roman" w:cs="Times New Roman"/>
          <w:szCs w:val="24"/>
          <w:lang w:eastAsia="es-CO"/>
        </w:rPr>
        <w:t>UAE-Dirección de Impuestos y Aduanas Nacionales</w:t>
      </w:r>
    </w:p>
    <w:p w14:paraId="384626FA" w14:textId="7758AD3F" w:rsidR="00DB5EFE" w:rsidRDefault="00DB5EFE" w:rsidP="005E5409">
      <w:pPr>
        <w:shd w:val="clear" w:color="auto" w:fill="FFFFFF"/>
        <w:spacing w:after="0" w:line="240" w:lineRule="atLeast"/>
        <w:jc w:val="both"/>
        <w:rPr>
          <w:rFonts w:eastAsia="Times New Roman" w:cs="Times New Roman"/>
          <w:szCs w:val="24"/>
          <w:lang w:eastAsia="es-CO"/>
        </w:rPr>
      </w:pPr>
      <w:r>
        <w:rPr>
          <w:rFonts w:eastAsia="Times New Roman" w:cs="Times New Roman"/>
          <w:szCs w:val="24"/>
          <w:lang w:eastAsia="es-CO"/>
        </w:rPr>
        <w:t>_____________________________________________________________________________</w:t>
      </w:r>
    </w:p>
    <w:sectPr w:rsidR="00DB5EF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564B1"/>
    <w:multiLevelType w:val="multilevel"/>
    <w:tmpl w:val="587E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0682F"/>
    <w:multiLevelType w:val="multilevel"/>
    <w:tmpl w:val="4112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21C3B"/>
    <w:multiLevelType w:val="multilevel"/>
    <w:tmpl w:val="7C3ED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FB66F1"/>
    <w:multiLevelType w:val="multilevel"/>
    <w:tmpl w:val="07C68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526008">
    <w:abstractNumId w:val="0"/>
  </w:num>
  <w:num w:numId="2" w16cid:durableId="1467699735">
    <w:abstractNumId w:val="3"/>
  </w:num>
  <w:num w:numId="3" w16cid:durableId="20477758">
    <w:abstractNumId w:val="1"/>
  </w:num>
  <w:num w:numId="4" w16cid:durableId="149634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42"/>
    <w:rsid w:val="00053AF7"/>
    <w:rsid w:val="000F3837"/>
    <w:rsid w:val="00101B8E"/>
    <w:rsid w:val="001E311E"/>
    <w:rsid w:val="00434AE6"/>
    <w:rsid w:val="005E5409"/>
    <w:rsid w:val="00740C42"/>
    <w:rsid w:val="007F5CC8"/>
    <w:rsid w:val="00834594"/>
    <w:rsid w:val="008779BE"/>
    <w:rsid w:val="009026FE"/>
    <w:rsid w:val="00DB5EF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A8D4"/>
  <w15:chartTrackingRefBased/>
  <w15:docId w15:val="{08B8FB0D-E5D3-4CDD-A857-B28ADD3A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Diana Alexandra Orozco López</cp:lastModifiedBy>
  <cp:revision>2</cp:revision>
  <dcterms:created xsi:type="dcterms:W3CDTF">2024-05-17T17:38:00Z</dcterms:created>
  <dcterms:modified xsi:type="dcterms:W3CDTF">2024-05-17T17:38:00Z</dcterms:modified>
</cp:coreProperties>
</file>