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B411" w14:textId="77777777" w:rsidR="00FB4C9C" w:rsidRPr="00FB4C9C" w:rsidRDefault="00FB4C9C" w:rsidP="00FB4C9C">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b/>
          <w:bCs/>
          <w:spacing w:val="2"/>
          <w:kern w:val="0"/>
          <w:sz w:val="36"/>
          <w:szCs w:val="36"/>
          <w:lang w:eastAsia="es-CO"/>
          <w14:ligatures w14:val="none"/>
        </w:rPr>
        <w:t>OFICIO 906441 DE 2022</w:t>
      </w:r>
    </w:p>
    <w:p w14:paraId="0908E332" w14:textId="77777777" w:rsidR="00FB4C9C" w:rsidRPr="00FB4C9C" w:rsidRDefault="00FB4C9C" w:rsidP="00FB4C9C">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(agosto 22)</w:t>
      </w:r>
    </w:p>
    <w:p w14:paraId="3500A1BF" w14:textId="77777777" w:rsidR="00FB4C9C" w:rsidRPr="00FB4C9C" w:rsidRDefault="00FB4C9C" w:rsidP="00FB4C9C">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&lt;Fuente: Archivo interno entidad emisora&gt;</w:t>
      </w:r>
    </w:p>
    <w:p w14:paraId="7449F925" w14:textId="77777777" w:rsidR="00FB4C9C" w:rsidRPr="00FB4C9C" w:rsidRDefault="00FB4C9C" w:rsidP="00FB4C9C">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&lt;Publicado en la página web de la DIAN: 5 de septiembre de 2022&gt;</w:t>
      </w:r>
    </w:p>
    <w:p w14:paraId="54E7FBB3" w14:textId="77777777" w:rsidR="00FB4C9C" w:rsidRPr="00FB4C9C" w:rsidRDefault="00FB4C9C" w:rsidP="00FB4C9C">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b/>
          <w:bCs/>
          <w:spacing w:val="2"/>
          <w:kern w:val="0"/>
          <w:sz w:val="27"/>
          <w:szCs w:val="27"/>
          <w:lang w:eastAsia="es-CO"/>
          <w14:ligatures w14:val="none"/>
        </w:rPr>
        <w:t>DIRECCIÓN DE IMPUESTOS Y ADUANAS NACIONALES</w:t>
      </w:r>
    </w:p>
    <w:p w14:paraId="62AFD439" w14:textId="77777777" w:rsidR="00FB4C9C" w:rsidRPr="00FB4C9C" w:rsidRDefault="00FB4C9C" w:rsidP="00FB4C9C">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Subdirección de Normativa y Doctrina</w:t>
      </w:r>
    </w:p>
    <w:p w14:paraId="0E6D7284" w14:textId="77777777" w:rsidR="00FB4C9C" w:rsidRPr="00FB4C9C" w:rsidRDefault="00FB4C9C" w:rsidP="00FB4C9C">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100208192-1046</w:t>
      </w:r>
    </w:p>
    <w:p w14:paraId="17CEE355" w14:textId="77777777" w:rsidR="00FB4C9C" w:rsidRPr="00FB4C9C" w:rsidRDefault="00FB4C9C" w:rsidP="00FB4C9C">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Bogotá, D.C.</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57"/>
        <w:gridCol w:w="6781"/>
      </w:tblGrid>
      <w:tr w:rsidR="00FB4C9C" w:rsidRPr="00FB4C9C" w14:paraId="55C6E125" w14:textId="77777777" w:rsidTr="00FB4C9C">
        <w:trPr>
          <w:tblCellSpacing w:w="15" w:type="dxa"/>
        </w:trPr>
        <w:tc>
          <w:tcPr>
            <w:tcW w:w="1150" w:type="pct"/>
            <w:tcBorders>
              <w:top w:val="nil"/>
              <w:left w:val="nil"/>
              <w:bottom w:val="nil"/>
              <w:right w:val="nil"/>
            </w:tcBorders>
            <w:tcMar>
              <w:top w:w="0" w:type="dxa"/>
              <w:left w:w="0" w:type="dxa"/>
              <w:bottom w:w="0" w:type="dxa"/>
              <w:right w:w="0" w:type="dxa"/>
            </w:tcMar>
            <w:hideMark/>
          </w:tcPr>
          <w:p w14:paraId="76F40240" w14:textId="77777777" w:rsidR="00FB4C9C" w:rsidRPr="00FB4C9C" w:rsidRDefault="00FB4C9C" w:rsidP="00FB4C9C">
            <w:pPr>
              <w:spacing w:after="0" w:line="245" w:lineRule="atLeast"/>
              <w:jc w:val="both"/>
              <w:rPr>
                <w:rFonts w:ascii="Roboto Condensed" w:eastAsia="Times New Roman" w:hAnsi="Roboto Condensed" w:cs="Times New Roman"/>
                <w:spacing w:val="2"/>
                <w:kern w:val="0"/>
                <w:lang w:eastAsia="es-CO"/>
                <w14:ligatures w14:val="none"/>
              </w:rPr>
            </w:pPr>
            <w:r w:rsidRPr="00FB4C9C">
              <w:rPr>
                <w:rFonts w:ascii="Roboto Condensed" w:eastAsia="Times New Roman" w:hAnsi="Roboto Condensed" w:cs="Times New Roman"/>
                <w:spacing w:val="2"/>
                <w:kern w:val="0"/>
                <w:lang w:eastAsia="es-CO"/>
                <w14:ligatures w14:val="none"/>
              </w:rPr>
              <w:t>Tema:</w:t>
            </w:r>
          </w:p>
        </w:tc>
        <w:tc>
          <w:tcPr>
            <w:tcW w:w="3850" w:type="pct"/>
            <w:tcBorders>
              <w:top w:val="nil"/>
              <w:left w:val="nil"/>
              <w:bottom w:val="nil"/>
              <w:right w:val="nil"/>
            </w:tcBorders>
            <w:tcMar>
              <w:top w:w="0" w:type="dxa"/>
              <w:left w:w="0" w:type="dxa"/>
              <w:bottom w:w="0" w:type="dxa"/>
              <w:right w:w="0" w:type="dxa"/>
            </w:tcMar>
            <w:hideMark/>
          </w:tcPr>
          <w:p w14:paraId="0A07514E" w14:textId="77777777" w:rsidR="00FB4C9C" w:rsidRPr="00FB4C9C" w:rsidRDefault="00FB4C9C" w:rsidP="00FB4C9C">
            <w:pPr>
              <w:spacing w:after="0" w:line="245" w:lineRule="atLeast"/>
              <w:jc w:val="both"/>
              <w:rPr>
                <w:rFonts w:ascii="Roboto Condensed" w:eastAsia="Times New Roman" w:hAnsi="Roboto Condensed" w:cs="Times New Roman"/>
                <w:spacing w:val="2"/>
                <w:kern w:val="0"/>
                <w:lang w:eastAsia="es-CO"/>
                <w14:ligatures w14:val="none"/>
              </w:rPr>
            </w:pPr>
            <w:r w:rsidRPr="00FB4C9C">
              <w:rPr>
                <w:rFonts w:ascii="Roboto Condensed" w:eastAsia="Times New Roman" w:hAnsi="Roboto Condensed" w:cs="Times New Roman"/>
                <w:spacing w:val="2"/>
                <w:kern w:val="0"/>
                <w:lang w:eastAsia="es-CO"/>
                <w14:ligatures w14:val="none"/>
              </w:rPr>
              <w:t>Procedimiento tributario</w:t>
            </w:r>
            <w:r w:rsidRPr="00FB4C9C">
              <w:rPr>
                <w:rFonts w:ascii="Roboto Condensed" w:eastAsia="Times New Roman" w:hAnsi="Roboto Condensed" w:cs="Times New Roman"/>
                <w:spacing w:val="2"/>
                <w:kern w:val="0"/>
                <w:lang w:eastAsia="es-CO"/>
                <w14:ligatures w14:val="none"/>
              </w:rPr>
              <w:br/>
              <w:t>Sistema de facturación electrónica</w:t>
            </w:r>
          </w:p>
        </w:tc>
      </w:tr>
      <w:tr w:rsidR="00FB4C9C" w:rsidRPr="00FB4C9C" w14:paraId="009E1BDF" w14:textId="77777777" w:rsidTr="00FB4C9C">
        <w:trPr>
          <w:tblCellSpacing w:w="15" w:type="dxa"/>
        </w:trPr>
        <w:tc>
          <w:tcPr>
            <w:tcW w:w="1150" w:type="pct"/>
            <w:tcBorders>
              <w:top w:val="nil"/>
              <w:left w:val="nil"/>
              <w:bottom w:val="nil"/>
              <w:right w:val="nil"/>
            </w:tcBorders>
            <w:tcMar>
              <w:top w:w="0" w:type="dxa"/>
              <w:left w:w="0" w:type="dxa"/>
              <w:bottom w:w="0" w:type="dxa"/>
              <w:right w:w="0" w:type="dxa"/>
            </w:tcMar>
            <w:hideMark/>
          </w:tcPr>
          <w:p w14:paraId="49B8310B" w14:textId="77777777" w:rsidR="00FB4C9C" w:rsidRPr="00FB4C9C" w:rsidRDefault="00FB4C9C" w:rsidP="00FB4C9C">
            <w:pPr>
              <w:spacing w:after="0" w:line="245" w:lineRule="atLeast"/>
              <w:jc w:val="both"/>
              <w:rPr>
                <w:rFonts w:ascii="Roboto Condensed" w:eastAsia="Times New Roman" w:hAnsi="Roboto Condensed" w:cs="Times New Roman"/>
                <w:spacing w:val="2"/>
                <w:kern w:val="0"/>
                <w:lang w:eastAsia="es-CO"/>
                <w14:ligatures w14:val="none"/>
              </w:rPr>
            </w:pPr>
            <w:r w:rsidRPr="00FB4C9C">
              <w:rPr>
                <w:rFonts w:ascii="Roboto Condensed" w:eastAsia="Times New Roman" w:hAnsi="Roboto Condensed" w:cs="Times New Roman"/>
                <w:spacing w:val="2"/>
                <w:kern w:val="0"/>
                <w:lang w:eastAsia="es-CO"/>
                <w14:ligatures w14:val="none"/>
              </w:rPr>
              <w:t>Descriptores:</w:t>
            </w:r>
          </w:p>
        </w:tc>
        <w:tc>
          <w:tcPr>
            <w:tcW w:w="3850" w:type="pct"/>
            <w:tcBorders>
              <w:top w:val="nil"/>
              <w:left w:val="nil"/>
              <w:bottom w:val="nil"/>
              <w:right w:val="nil"/>
            </w:tcBorders>
            <w:tcMar>
              <w:top w:w="0" w:type="dxa"/>
              <w:left w:w="0" w:type="dxa"/>
              <w:bottom w:w="0" w:type="dxa"/>
              <w:right w:w="0" w:type="dxa"/>
            </w:tcMar>
            <w:hideMark/>
          </w:tcPr>
          <w:p w14:paraId="3A3E3C5A" w14:textId="77777777" w:rsidR="00FB4C9C" w:rsidRPr="00FB4C9C" w:rsidRDefault="00FB4C9C" w:rsidP="00FB4C9C">
            <w:pPr>
              <w:spacing w:after="0" w:line="245" w:lineRule="atLeast"/>
              <w:jc w:val="both"/>
              <w:rPr>
                <w:rFonts w:ascii="Roboto Condensed" w:eastAsia="Times New Roman" w:hAnsi="Roboto Condensed" w:cs="Times New Roman"/>
                <w:spacing w:val="2"/>
                <w:kern w:val="0"/>
                <w:lang w:eastAsia="es-CO"/>
                <w14:ligatures w14:val="none"/>
              </w:rPr>
            </w:pPr>
            <w:r w:rsidRPr="00FB4C9C">
              <w:rPr>
                <w:rFonts w:ascii="Roboto Condensed" w:eastAsia="Times New Roman" w:hAnsi="Roboto Condensed" w:cs="Times New Roman"/>
                <w:spacing w:val="2"/>
                <w:kern w:val="0"/>
                <w:lang w:eastAsia="es-CO"/>
                <w14:ligatures w14:val="none"/>
              </w:rPr>
              <w:t>Documento soporte de pago de nómina electrónica</w:t>
            </w:r>
          </w:p>
        </w:tc>
      </w:tr>
      <w:tr w:rsidR="00FB4C9C" w:rsidRPr="00FB4C9C" w14:paraId="21A219B2" w14:textId="77777777" w:rsidTr="00FB4C9C">
        <w:trPr>
          <w:tblCellSpacing w:w="15" w:type="dxa"/>
        </w:trPr>
        <w:tc>
          <w:tcPr>
            <w:tcW w:w="1150" w:type="pct"/>
            <w:tcBorders>
              <w:top w:val="nil"/>
              <w:left w:val="nil"/>
              <w:bottom w:val="nil"/>
              <w:right w:val="nil"/>
            </w:tcBorders>
            <w:tcMar>
              <w:top w:w="0" w:type="dxa"/>
              <w:left w:w="0" w:type="dxa"/>
              <w:bottom w:w="0" w:type="dxa"/>
              <w:right w:w="0" w:type="dxa"/>
            </w:tcMar>
            <w:hideMark/>
          </w:tcPr>
          <w:p w14:paraId="4C9FDEF3" w14:textId="77777777" w:rsidR="00FB4C9C" w:rsidRPr="00FB4C9C" w:rsidRDefault="00FB4C9C" w:rsidP="00FB4C9C">
            <w:pPr>
              <w:spacing w:after="0" w:line="245" w:lineRule="atLeast"/>
              <w:jc w:val="both"/>
              <w:rPr>
                <w:rFonts w:ascii="Roboto Condensed" w:eastAsia="Times New Roman" w:hAnsi="Roboto Condensed" w:cs="Times New Roman"/>
                <w:spacing w:val="2"/>
                <w:kern w:val="0"/>
                <w:lang w:eastAsia="es-CO"/>
                <w14:ligatures w14:val="none"/>
              </w:rPr>
            </w:pPr>
            <w:r w:rsidRPr="00FB4C9C">
              <w:rPr>
                <w:rFonts w:ascii="Roboto Condensed" w:eastAsia="Times New Roman" w:hAnsi="Roboto Condensed" w:cs="Times New Roman"/>
                <w:spacing w:val="2"/>
                <w:kern w:val="0"/>
                <w:lang w:eastAsia="es-CO"/>
                <w14:ligatures w14:val="none"/>
              </w:rPr>
              <w:t>Fuentes formales:</w:t>
            </w:r>
          </w:p>
        </w:tc>
        <w:tc>
          <w:tcPr>
            <w:tcW w:w="3850" w:type="pct"/>
            <w:tcBorders>
              <w:top w:val="nil"/>
              <w:left w:val="nil"/>
              <w:bottom w:val="nil"/>
              <w:right w:val="nil"/>
            </w:tcBorders>
            <w:tcMar>
              <w:top w:w="0" w:type="dxa"/>
              <w:left w:w="0" w:type="dxa"/>
              <w:bottom w:w="0" w:type="dxa"/>
              <w:right w:w="0" w:type="dxa"/>
            </w:tcMar>
            <w:hideMark/>
          </w:tcPr>
          <w:p w14:paraId="2C38FF2D" w14:textId="77777777" w:rsidR="00FB4C9C" w:rsidRPr="00FB4C9C" w:rsidRDefault="00FB4C9C" w:rsidP="00FB4C9C">
            <w:pPr>
              <w:spacing w:after="0" w:line="245" w:lineRule="atLeast"/>
              <w:jc w:val="both"/>
              <w:rPr>
                <w:rFonts w:ascii="Roboto Condensed" w:eastAsia="Times New Roman" w:hAnsi="Roboto Condensed" w:cs="Times New Roman"/>
                <w:spacing w:val="2"/>
                <w:kern w:val="0"/>
                <w:lang w:eastAsia="es-CO"/>
                <w14:ligatures w14:val="none"/>
              </w:rPr>
            </w:pPr>
            <w:r w:rsidRPr="00FB4C9C">
              <w:rPr>
                <w:rFonts w:ascii="Roboto Condensed" w:eastAsia="Times New Roman" w:hAnsi="Roboto Condensed" w:cs="Times New Roman"/>
                <w:spacing w:val="2"/>
                <w:kern w:val="0"/>
                <w:lang w:eastAsia="es-CO"/>
                <w14:ligatures w14:val="none"/>
              </w:rPr>
              <w:t>Artículo </w:t>
            </w:r>
            <w:hyperlink r:id="rId4" w:anchor="616-1" w:history="1">
              <w:r w:rsidRPr="00FB4C9C">
                <w:rPr>
                  <w:rFonts w:ascii="Roboto Condensed" w:eastAsia="Times New Roman" w:hAnsi="Roboto Condensed" w:cs="Times New Roman"/>
                  <w:color w:val="0000FF"/>
                  <w:spacing w:val="2"/>
                  <w:kern w:val="0"/>
                  <w:u w:val="single"/>
                  <w:lang w:eastAsia="es-CO"/>
                  <w14:ligatures w14:val="none"/>
                </w:rPr>
                <w:t>616-1</w:t>
              </w:r>
            </w:hyperlink>
            <w:r w:rsidRPr="00FB4C9C">
              <w:rPr>
                <w:rFonts w:ascii="Roboto Condensed" w:eastAsia="Times New Roman" w:hAnsi="Roboto Condensed" w:cs="Times New Roman"/>
                <w:spacing w:val="2"/>
                <w:kern w:val="0"/>
                <w:lang w:eastAsia="es-CO"/>
                <w14:ligatures w14:val="none"/>
              </w:rPr>
              <w:t> del Estatuto Tributario</w:t>
            </w:r>
            <w:r w:rsidRPr="00FB4C9C">
              <w:rPr>
                <w:rFonts w:ascii="Roboto Condensed" w:eastAsia="Times New Roman" w:hAnsi="Roboto Condensed" w:cs="Times New Roman"/>
                <w:spacing w:val="2"/>
                <w:kern w:val="0"/>
                <w:lang w:eastAsia="es-CO"/>
                <w14:ligatures w14:val="none"/>
              </w:rPr>
              <w:br/>
              <w:t>Resolución DIAN No. 0000</w:t>
            </w:r>
            <w:hyperlink r:id="rId5" w:anchor="INICIO" w:history="1">
              <w:r w:rsidRPr="00FB4C9C">
                <w:rPr>
                  <w:rFonts w:ascii="Roboto Condensed" w:eastAsia="Times New Roman" w:hAnsi="Roboto Condensed" w:cs="Times New Roman"/>
                  <w:color w:val="0000FF"/>
                  <w:spacing w:val="2"/>
                  <w:kern w:val="0"/>
                  <w:u w:val="single"/>
                  <w:lang w:eastAsia="es-CO"/>
                  <w14:ligatures w14:val="none"/>
                </w:rPr>
                <w:t>13</w:t>
              </w:r>
            </w:hyperlink>
            <w:r w:rsidRPr="00FB4C9C">
              <w:rPr>
                <w:rFonts w:ascii="Roboto Condensed" w:eastAsia="Times New Roman" w:hAnsi="Roboto Condensed" w:cs="Times New Roman"/>
                <w:spacing w:val="2"/>
                <w:kern w:val="0"/>
                <w:lang w:eastAsia="es-CO"/>
                <w14:ligatures w14:val="none"/>
              </w:rPr>
              <w:t> de 2021</w:t>
            </w:r>
          </w:p>
        </w:tc>
      </w:tr>
    </w:tbl>
    <w:p w14:paraId="62C08BEB" w14:textId="77777777" w:rsidR="00FB4C9C" w:rsidRPr="00FB4C9C" w:rsidRDefault="00FB4C9C" w:rsidP="00FB4C9C">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Cordial saludo,</w:t>
      </w:r>
    </w:p>
    <w:p w14:paraId="0FC49070" w14:textId="77777777" w:rsidR="00FB4C9C" w:rsidRPr="00FB4C9C" w:rsidRDefault="00FB4C9C" w:rsidP="00FB4C9C">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De conformidad con el artículo </w:t>
      </w:r>
      <w:hyperlink r:id="rId6" w:anchor="56" w:history="1">
        <w:r w:rsidRPr="00FB4C9C">
          <w:rPr>
            <w:rFonts w:ascii="Roboto Condensed" w:eastAsia="Times New Roman" w:hAnsi="Roboto Condensed" w:cs="Times New Roman"/>
            <w:color w:val="0000FF"/>
            <w:spacing w:val="2"/>
            <w:kern w:val="0"/>
            <w:sz w:val="27"/>
            <w:szCs w:val="27"/>
            <w:u w:val="single"/>
            <w:lang w:eastAsia="es-CO"/>
            <w14:ligatures w14:val="none"/>
          </w:rPr>
          <w:t>56</w:t>
        </w:r>
      </w:hyperlink>
      <w:r w:rsidRPr="00FB4C9C">
        <w:rPr>
          <w:rFonts w:ascii="Roboto Condensed" w:eastAsia="Times New Roman" w:hAnsi="Roboto Condensed" w:cs="Times New Roman"/>
          <w:spacing w:val="2"/>
          <w:kern w:val="0"/>
          <w:sz w:val="27"/>
          <w:szCs w:val="27"/>
          <w:lang w:eastAsia="es-CO"/>
          <w14:ligatures w14:val="none"/>
        </w:rPr>
        <w:t> del Decreto 1742 de 2020, este Despacho está facultado para absolver las consultas escritas que se formulen sobre la interpretación y aplicación de las normas tributarias, aduaneras y de fiscalización cambiaria, en el marco de las competencias de la Dirección de Impuestos y Aduanas Nacionales.</w:t>
      </w:r>
    </w:p>
    <w:p w14:paraId="02E5D8E8" w14:textId="77777777" w:rsidR="00FB4C9C" w:rsidRPr="00FB4C9C" w:rsidRDefault="00FB4C9C" w:rsidP="00FB4C9C">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Mediante el radicado de la referencia, la peticionaria consulta por el documento soporte de pago de nómina electrónica exponiendo particularidades de un caso específico, las cuales se abordarán de manera general de acuerdo con la competencia orgánica y funcional de este Despacho, tal y como lo instaura el referido artículo </w:t>
      </w:r>
      <w:hyperlink r:id="rId7" w:anchor="56" w:history="1">
        <w:r w:rsidRPr="00FB4C9C">
          <w:rPr>
            <w:rFonts w:ascii="Roboto Condensed" w:eastAsia="Times New Roman" w:hAnsi="Roboto Condensed" w:cs="Times New Roman"/>
            <w:color w:val="0000FF"/>
            <w:spacing w:val="2"/>
            <w:kern w:val="0"/>
            <w:sz w:val="27"/>
            <w:szCs w:val="27"/>
            <w:u w:val="single"/>
            <w:lang w:eastAsia="es-CO"/>
            <w14:ligatures w14:val="none"/>
          </w:rPr>
          <w:t>56</w:t>
        </w:r>
      </w:hyperlink>
      <w:r w:rsidRPr="00FB4C9C">
        <w:rPr>
          <w:rFonts w:ascii="Roboto Condensed" w:eastAsia="Times New Roman" w:hAnsi="Roboto Condensed" w:cs="Times New Roman"/>
          <w:spacing w:val="2"/>
          <w:kern w:val="0"/>
          <w:sz w:val="27"/>
          <w:szCs w:val="27"/>
          <w:lang w:eastAsia="es-CO"/>
          <w14:ligatures w14:val="none"/>
        </w:rPr>
        <w:t> y con base en dos supuestos hipotéticos generales, a saber:</w:t>
      </w:r>
    </w:p>
    <w:p w14:paraId="46BEE2F2" w14:textId="77777777" w:rsidR="00FB4C9C" w:rsidRPr="00FB4C9C" w:rsidRDefault="00FB4C9C" w:rsidP="00FB4C9C">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b/>
          <w:bCs/>
          <w:spacing w:val="2"/>
          <w:kern w:val="0"/>
          <w:sz w:val="27"/>
          <w:szCs w:val="27"/>
          <w:lang w:eastAsia="es-CO"/>
          <w14:ligatures w14:val="none"/>
        </w:rPr>
        <w:lastRenderedPageBreak/>
        <w:t>I. Soporte de gastos correspondientes a dotación de elementos adquiridos por el contribuyente -empleador- al por mayor para almacenar</w:t>
      </w:r>
    </w:p>
    <w:p w14:paraId="24152D44" w14:textId="77777777" w:rsidR="00FB4C9C" w:rsidRPr="00FB4C9C" w:rsidRDefault="00FB4C9C" w:rsidP="00FB4C9C">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De conformidad con lo dispuesto en el numeral 10 del artículo </w:t>
      </w:r>
      <w:hyperlink r:id="rId8" w:anchor="1" w:history="1">
        <w:r w:rsidRPr="00FB4C9C">
          <w:rPr>
            <w:rFonts w:ascii="Roboto Condensed" w:eastAsia="Times New Roman" w:hAnsi="Roboto Condensed" w:cs="Times New Roman"/>
            <w:color w:val="0000FF"/>
            <w:spacing w:val="2"/>
            <w:kern w:val="0"/>
            <w:sz w:val="27"/>
            <w:szCs w:val="27"/>
            <w:u w:val="single"/>
            <w:lang w:eastAsia="es-CO"/>
            <w14:ligatures w14:val="none"/>
          </w:rPr>
          <w:t>1°</w:t>
        </w:r>
      </w:hyperlink>
      <w:r w:rsidRPr="00FB4C9C">
        <w:rPr>
          <w:rFonts w:ascii="Roboto Condensed" w:eastAsia="Times New Roman" w:hAnsi="Roboto Condensed" w:cs="Times New Roman"/>
          <w:spacing w:val="2"/>
          <w:kern w:val="0"/>
          <w:sz w:val="27"/>
          <w:szCs w:val="27"/>
          <w:lang w:eastAsia="es-CO"/>
          <w14:ligatures w14:val="none"/>
        </w:rPr>
        <w:t> de la Resolución DIAN No. 000013 de 2021, el documento soporte objeto de estudio está definido así:</w:t>
      </w:r>
    </w:p>
    <w:p w14:paraId="5B7661E4" w14:textId="77777777" w:rsidR="00FB4C9C" w:rsidRPr="00FB4C9C" w:rsidRDefault="00FB4C9C" w:rsidP="00FB4C9C">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i/>
          <w:iCs/>
          <w:spacing w:val="2"/>
          <w:kern w:val="0"/>
          <w:sz w:val="27"/>
          <w:szCs w:val="27"/>
          <w:lang w:eastAsia="es-CO"/>
          <w14:ligatures w14:val="none"/>
        </w:rPr>
        <w:t>“</w:t>
      </w:r>
      <w:r w:rsidRPr="00FB4C9C">
        <w:rPr>
          <w:rFonts w:ascii="Roboto Condensed" w:eastAsia="Times New Roman" w:hAnsi="Roboto Condensed" w:cs="Times New Roman"/>
          <w:b/>
          <w:bCs/>
          <w:i/>
          <w:iCs/>
          <w:spacing w:val="2"/>
          <w:kern w:val="0"/>
          <w:sz w:val="27"/>
          <w:szCs w:val="27"/>
          <w:lang w:eastAsia="es-CO"/>
          <w14:ligatures w14:val="none"/>
        </w:rPr>
        <w:t>10. Documento soporte de pago de nómina electrónica</w:t>
      </w:r>
      <w:r w:rsidRPr="00FB4C9C">
        <w:rPr>
          <w:rFonts w:ascii="Roboto Condensed" w:eastAsia="Times New Roman" w:hAnsi="Roboto Condensed" w:cs="Times New Roman"/>
          <w:i/>
          <w:iCs/>
          <w:spacing w:val="2"/>
          <w:kern w:val="0"/>
          <w:sz w:val="27"/>
          <w:szCs w:val="27"/>
          <w:lang w:eastAsia="es-CO"/>
          <w14:ligatures w14:val="none"/>
        </w:rPr>
        <w:t>: Es un documento electrónico que constituye el soporte de los costos y deducciones en el impuesto sobre la renta y complementarios (...), </w:t>
      </w:r>
      <w:r w:rsidRPr="00FB4C9C">
        <w:rPr>
          <w:rFonts w:ascii="Roboto Condensed" w:eastAsia="Times New Roman" w:hAnsi="Roboto Condensed" w:cs="Times New Roman"/>
          <w:b/>
          <w:bCs/>
          <w:i/>
          <w:iCs/>
          <w:spacing w:val="2"/>
          <w:kern w:val="0"/>
          <w:sz w:val="27"/>
          <w:szCs w:val="27"/>
          <w:u w:val="single"/>
          <w:lang w:eastAsia="es-CO"/>
          <w14:ligatures w14:val="none"/>
        </w:rPr>
        <w:t>derivado de los pagos o abonos en cuenta, relacionados con la nómina, que se desprenden de una relación laboral o legal y reglamentaria</w:t>
      </w:r>
      <w:r w:rsidRPr="00FB4C9C">
        <w:rPr>
          <w:rFonts w:ascii="Roboto Condensed" w:eastAsia="Times New Roman" w:hAnsi="Roboto Condensed" w:cs="Times New Roman"/>
          <w:i/>
          <w:iCs/>
          <w:spacing w:val="2"/>
          <w:kern w:val="0"/>
          <w:sz w:val="27"/>
          <w:szCs w:val="27"/>
          <w:lang w:eastAsia="es-CO"/>
          <w14:ligatures w14:val="none"/>
        </w:rPr>
        <w:t> y que está compuesto por los valores devengados de nómina, los valores deducidos de nómina y el valor total diferencia de los mismos, </w:t>
      </w:r>
      <w:r w:rsidRPr="00FB4C9C">
        <w:rPr>
          <w:rFonts w:ascii="Roboto Condensed" w:eastAsia="Times New Roman" w:hAnsi="Roboto Condensed" w:cs="Times New Roman"/>
          <w:i/>
          <w:iCs/>
          <w:spacing w:val="2"/>
          <w:kern w:val="0"/>
          <w:sz w:val="27"/>
          <w:szCs w:val="27"/>
          <w:u w:val="single"/>
          <w:lang w:eastAsia="es-CO"/>
          <w14:ligatures w14:val="none"/>
        </w:rPr>
        <w:t>el cual se deberá generar y transmitir, para la validación de la Unidad Administrativa Especial Dirección de Impuestos y Aduanas Nacionales -DIAN, de manera independiente para cada uno de los beneficiarios de los pagos realizados, por el sujeto obligado</w:t>
      </w:r>
      <w:r w:rsidRPr="00FB4C9C">
        <w:rPr>
          <w:rFonts w:ascii="Roboto Condensed" w:eastAsia="Times New Roman" w:hAnsi="Roboto Condensed" w:cs="Times New Roman"/>
          <w:i/>
          <w:iCs/>
          <w:spacing w:val="2"/>
          <w:kern w:val="0"/>
          <w:sz w:val="27"/>
          <w:szCs w:val="27"/>
          <w:lang w:eastAsia="es-CO"/>
          <w14:ligatures w14:val="none"/>
        </w:rPr>
        <w:t>”.</w:t>
      </w:r>
      <w:r w:rsidRPr="00FB4C9C">
        <w:rPr>
          <w:rFonts w:ascii="Roboto Condensed" w:eastAsia="Times New Roman" w:hAnsi="Roboto Condensed" w:cs="Times New Roman"/>
          <w:spacing w:val="2"/>
          <w:kern w:val="0"/>
          <w:sz w:val="27"/>
          <w:szCs w:val="27"/>
          <w:lang w:eastAsia="es-CO"/>
          <w14:ligatures w14:val="none"/>
        </w:rPr>
        <w:t> (Subrayado y negrilla fuera de texto)</w:t>
      </w:r>
    </w:p>
    <w:p w14:paraId="67966003" w14:textId="77777777" w:rsidR="00FB4C9C" w:rsidRPr="00FB4C9C" w:rsidRDefault="00FB4C9C" w:rsidP="00FB4C9C">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Al respecto, la doctrina vigente de esta Entidad (cfr. Oficio </w:t>
      </w:r>
      <w:hyperlink r:id="rId9" w:anchor="INICIO" w:history="1">
        <w:r w:rsidRPr="00FB4C9C">
          <w:rPr>
            <w:rFonts w:ascii="Roboto Condensed" w:eastAsia="Times New Roman" w:hAnsi="Roboto Condensed" w:cs="Times New Roman"/>
            <w:color w:val="0000FF"/>
            <w:spacing w:val="2"/>
            <w:kern w:val="0"/>
            <w:sz w:val="27"/>
            <w:szCs w:val="27"/>
            <w:u w:val="single"/>
            <w:lang w:eastAsia="es-CO"/>
            <w14:ligatures w14:val="none"/>
          </w:rPr>
          <w:t>908125</w:t>
        </w:r>
      </w:hyperlink>
      <w:r w:rsidRPr="00FB4C9C">
        <w:rPr>
          <w:rFonts w:ascii="Roboto Condensed" w:eastAsia="Times New Roman" w:hAnsi="Roboto Condensed" w:cs="Times New Roman"/>
          <w:spacing w:val="2"/>
          <w:kern w:val="0"/>
          <w:sz w:val="27"/>
          <w:szCs w:val="27"/>
          <w:lang w:eastAsia="es-CO"/>
          <w14:ligatures w14:val="none"/>
        </w:rPr>
        <w:t> interno No. 1268 de 2021) ha considerado que la normativa que rige este documento electrónico </w:t>
      </w:r>
      <w:r w:rsidRPr="00FB4C9C">
        <w:rPr>
          <w:rFonts w:ascii="Roboto Condensed" w:eastAsia="Times New Roman" w:hAnsi="Roboto Condensed" w:cs="Times New Roman"/>
          <w:i/>
          <w:iCs/>
          <w:spacing w:val="2"/>
          <w:kern w:val="0"/>
          <w:sz w:val="27"/>
          <w:szCs w:val="27"/>
          <w:lang w:eastAsia="es-CO"/>
          <w14:ligatures w14:val="none"/>
        </w:rPr>
        <w:t>“no diferencia la modalidad en la que se efectúa dicho pago o abono en cuenta por parte del empleador al trabajador, sino que se funda en el </w:t>
      </w:r>
      <w:r w:rsidRPr="00FB4C9C">
        <w:rPr>
          <w:rFonts w:ascii="Roboto Condensed" w:eastAsia="Times New Roman" w:hAnsi="Roboto Condensed" w:cs="Times New Roman"/>
          <w:i/>
          <w:iCs/>
          <w:spacing w:val="2"/>
          <w:kern w:val="0"/>
          <w:sz w:val="27"/>
          <w:szCs w:val="27"/>
          <w:u w:val="single"/>
          <w:lang w:eastAsia="es-CO"/>
          <w14:ligatures w14:val="none"/>
        </w:rPr>
        <w:t>objeto del pago mismo</w:t>
      </w:r>
      <w:r w:rsidRPr="00FB4C9C">
        <w:rPr>
          <w:rFonts w:ascii="Roboto Condensed" w:eastAsia="Times New Roman" w:hAnsi="Roboto Condensed" w:cs="Times New Roman"/>
          <w:i/>
          <w:iCs/>
          <w:spacing w:val="2"/>
          <w:kern w:val="0"/>
          <w:sz w:val="27"/>
          <w:szCs w:val="27"/>
          <w:lang w:eastAsia="es-CO"/>
          <w14:ligatures w14:val="none"/>
        </w:rPr>
        <w:t> y, toda vez que la finalidad del documento soporte no es otra más que soportar en debida forma el costo, deducción (...), según corresponda, </w:t>
      </w:r>
      <w:r w:rsidRPr="00FB4C9C">
        <w:rPr>
          <w:rFonts w:ascii="Roboto Condensed" w:eastAsia="Times New Roman" w:hAnsi="Roboto Condensed" w:cs="Times New Roman"/>
          <w:i/>
          <w:iCs/>
          <w:spacing w:val="2"/>
          <w:kern w:val="0"/>
          <w:sz w:val="27"/>
          <w:szCs w:val="27"/>
          <w:u w:val="single"/>
          <w:lang w:eastAsia="es-CO"/>
          <w14:ligatures w14:val="none"/>
        </w:rPr>
        <w:t>deberá el empleador incluir en el concepto de valores devengados por el trabajador todos los pagos o abonos en cuenta que en virtud de la relación laboral, legal o reglamentaria efectuó al trabajador, sin importar si estos fueron dados en dinero o en especie</w:t>
      </w:r>
      <w:r w:rsidRPr="00FB4C9C">
        <w:rPr>
          <w:rFonts w:ascii="Roboto Condensed" w:eastAsia="Times New Roman" w:hAnsi="Roboto Condensed" w:cs="Times New Roman"/>
          <w:i/>
          <w:iCs/>
          <w:spacing w:val="2"/>
          <w:kern w:val="0"/>
          <w:sz w:val="27"/>
          <w:szCs w:val="27"/>
          <w:lang w:eastAsia="es-CO"/>
          <w14:ligatures w14:val="none"/>
        </w:rPr>
        <w:t>. En consecuencia, prestaciones como la alimentación, hospedaje y </w:t>
      </w:r>
      <w:r w:rsidRPr="00FB4C9C">
        <w:rPr>
          <w:rFonts w:ascii="Roboto Condensed" w:eastAsia="Times New Roman" w:hAnsi="Roboto Condensed" w:cs="Times New Roman"/>
          <w:i/>
          <w:iCs/>
          <w:spacing w:val="2"/>
          <w:kern w:val="0"/>
          <w:sz w:val="27"/>
          <w:szCs w:val="27"/>
          <w:u w:val="single"/>
          <w:lang w:eastAsia="es-CO"/>
          <w14:ligatures w14:val="none"/>
        </w:rPr>
        <w:t>dotación</w:t>
      </w:r>
      <w:r w:rsidRPr="00FB4C9C">
        <w:rPr>
          <w:rFonts w:ascii="Roboto Condensed" w:eastAsia="Times New Roman" w:hAnsi="Roboto Condensed" w:cs="Times New Roman"/>
          <w:i/>
          <w:iCs/>
          <w:spacing w:val="2"/>
          <w:kern w:val="0"/>
          <w:sz w:val="27"/>
          <w:szCs w:val="27"/>
          <w:lang w:eastAsia="es-CO"/>
          <w14:ligatures w14:val="none"/>
        </w:rPr>
        <w:t> que se acuerden en especie con el trabajador y que </w:t>
      </w:r>
      <w:r w:rsidRPr="00FB4C9C">
        <w:rPr>
          <w:rFonts w:ascii="Roboto Condensed" w:eastAsia="Times New Roman" w:hAnsi="Roboto Condensed" w:cs="Times New Roman"/>
          <w:i/>
          <w:iCs/>
          <w:spacing w:val="2"/>
          <w:kern w:val="0"/>
          <w:sz w:val="27"/>
          <w:szCs w:val="27"/>
          <w:u w:val="single"/>
          <w:lang w:eastAsia="es-CO"/>
          <w14:ligatures w14:val="none"/>
        </w:rPr>
        <w:t xml:space="preserve">hagan parte de la retribución que se efectúa en virtud de la relación laboral, legal y reglamentaria que ostenta el </w:t>
      </w:r>
      <w:r w:rsidRPr="00FB4C9C">
        <w:rPr>
          <w:rFonts w:ascii="Roboto Condensed" w:eastAsia="Times New Roman" w:hAnsi="Roboto Condensed" w:cs="Times New Roman"/>
          <w:i/>
          <w:iCs/>
          <w:spacing w:val="2"/>
          <w:kern w:val="0"/>
          <w:sz w:val="27"/>
          <w:szCs w:val="27"/>
          <w:u w:val="single"/>
          <w:lang w:eastAsia="es-CO"/>
          <w14:ligatures w14:val="none"/>
        </w:rPr>
        <w:lastRenderedPageBreak/>
        <w:t>empleador con el trabajador deberán ser incluidos en el documento soporte de pago de nómina electrónica</w:t>
      </w:r>
      <w:r w:rsidRPr="00FB4C9C">
        <w:rPr>
          <w:rFonts w:ascii="Roboto Condensed" w:eastAsia="Times New Roman" w:hAnsi="Roboto Condensed" w:cs="Times New Roman"/>
          <w:i/>
          <w:iCs/>
          <w:spacing w:val="2"/>
          <w:kern w:val="0"/>
          <w:sz w:val="27"/>
          <w:szCs w:val="27"/>
          <w:lang w:eastAsia="es-CO"/>
          <w14:ligatures w14:val="none"/>
        </w:rPr>
        <w:t> a efectos de que el empleador, en calidad de contribuyente del impuesto sobre la renta, pueda tomarse el costo o deducción a que haya lugar”.</w:t>
      </w:r>
      <w:r w:rsidRPr="00FB4C9C">
        <w:rPr>
          <w:rFonts w:ascii="Roboto Condensed" w:eastAsia="Times New Roman" w:hAnsi="Roboto Condensed" w:cs="Times New Roman"/>
          <w:spacing w:val="2"/>
          <w:kern w:val="0"/>
          <w:sz w:val="27"/>
          <w:szCs w:val="27"/>
          <w:lang w:eastAsia="es-CO"/>
          <w14:ligatures w14:val="none"/>
        </w:rPr>
        <w:t> (Subrayado fuera de texto)</w:t>
      </w:r>
    </w:p>
    <w:p w14:paraId="0EEE3A6B" w14:textId="77777777" w:rsidR="00FB4C9C" w:rsidRPr="00FB4C9C" w:rsidRDefault="00FB4C9C" w:rsidP="00FB4C9C">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Nótese que la normativa y doctrina vigente determinan que son los pagos o abonos en cuenta que en virtud de la relación laboral, legal o reglamentaria efectúa el empleador -contribuyente del impuesto sobre la renta- al trabajador, los que deberán soportarse con el documento soporte de pago de nómina electrónica, siempre que estos requieran ser tomados por dicho contribuyente como costo o deducción.</w:t>
      </w:r>
    </w:p>
    <w:p w14:paraId="6443E0DA" w14:textId="77777777" w:rsidR="00FB4C9C" w:rsidRPr="00FB4C9C" w:rsidRDefault="00FB4C9C" w:rsidP="00FB4C9C">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De modo que, los empleadores que requieran soportar los gastos efectuados en razón a adquisiciones realizadas al por mayor de productos que integran la dotación de sus empleados con derecho a dicha prestación (en los términos del artículo 230 del Código Sustantivo del Trabajo), deberán, a efectos de generar el documento soporte objeto de estudio, incluir el reporte correspondiente de este pago o abono en cuenta cuando estos elementos se asignen, entreguen o se hagan efectivos a cada uno de los trabajadores.</w:t>
      </w:r>
    </w:p>
    <w:p w14:paraId="1B15FE10" w14:textId="77777777" w:rsidR="00FB4C9C" w:rsidRPr="00FB4C9C" w:rsidRDefault="00FB4C9C" w:rsidP="00FB4C9C">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Lo anterior, toda vez que sólo hasta ese momento se configura el pago o abono en cuenta del elemento de la dotación al beneficiario de este, razón por la cual, no existiría a la fecha de la adquisición general de los elementos por parte del empleador un pago o abono en cuenta derivado de una relación laboral, legal o reglamentaria determinable para cada uno de los trabajadores que sustente su inclusión en el documento soporte de pago de nómina electrónica.</w:t>
      </w:r>
    </w:p>
    <w:p w14:paraId="35C070BF" w14:textId="77777777" w:rsidR="00FB4C9C" w:rsidRPr="00FB4C9C" w:rsidRDefault="00FB4C9C" w:rsidP="00FB4C9C">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 xml:space="preserve">En este sentido, se encuentra que es posible que el reporte de los pagos o abonos en cuenta realizados en virtud de la relación laboral, legal o reglamentaria de los </w:t>
      </w:r>
      <w:r w:rsidRPr="00FB4C9C">
        <w:rPr>
          <w:rFonts w:ascii="Roboto Condensed" w:eastAsia="Times New Roman" w:hAnsi="Roboto Condensed" w:cs="Times New Roman"/>
          <w:spacing w:val="2"/>
          <w:kern w:val="0"/>
          <w:sz w:val="27"/>
          <w:szCs w:val="27"/>
          <w:lang w:eastAsia="es-CO"/>
          <w14:ligatures w14:val="none"/>
        </w:rPr>
        <w:lastRenderedPageBreak/>
        <w:t>elementos bajo análisis pueda ocurrir en un período diferente al período en el que se efectuó dicha adquisición inicial (al por mayor) de los elementos que integrarían eventualmente la dotación, sin que ello implique un error en la generación del documento electrónico.</w:t>
      </w:r>
    </w:p>
    <w:p w14:paraId="32B22D6C" w14:textId="77777777" w:rsidR="00FB4C9C" w:rsidRPr="00FB4C9C" w:rsidRDefault="00FB4C9C" w:rsidP="00FB4C9C">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En cualquier caso, deberá existir coherencia entre los soportes de las operaciones económicas efectuadas por el contribuyente para la procedencia del costo o deducción, según corresponda en cada caso particular.</w:t>
      </w:r>
    </w:p>
    <w:p w14:paraId="7885607F" w14:textId="77777777" w:rsidR="00FB4C9C" w:rsidRPr="00FB4C9C" w:rsidRDefault="00FB4C9C" w:rsidP="00FB4C9C">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b/>
          <w:bCs/>
          <w:spacing w:val="2"/>
          <w:kern w:val="0"/>
          <w:sz w:val="27"/>
          <w:szCs w:val="27"/>
          <w:lang w:eastAsia="es-CO"/>
          <w14:ligatures w14:val="none"/>
        </w:rPr>
        <w:t>II. Soporte de gastos correspondientes a elementos puestos a disposición de todo el personal contratado</w:t>
      </w:r>
    </w:p>
    <w:p w14:paraId="2FD3E74B" w14:textId="77777777" w:rsidR="00FB4C9C" w:rsidRPr="00FB4C9C" w:rsidRDefault="00FB4C9C" w:rsidP="00FB4C9C">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Acerca de los elementos que no se entregan directamente a los trabajadores debido a que se ponen a disposición de todo el personal contratado por los empleadores, es posible concluir que dichas erogaciones no se enmarcan propiamente en el concepto de pago o abono en cuenta relacionados con la nómina, que se desprenden de una relación laboral o legal y reglamentaria que mantiene el sujeto obligado con el trabajador.</w:t>
      </w:r>
    </w:p>
    <w:p w14:paraId="6F5CE529" w14:textId="77777777" w:rsidR="00FB4C9C" w:rsidRPr="00FB4C9C" w:rsidRDefault="00FB4C9C" w:rsidP="00FB4C9C">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Lo anterior toda vez que del supuesto hipotético planteado se deduce que dichos bienes se identifican como elementos de uso general (optativos) y no se relacionan directamente con cada contrato laboral individuamente considerado, al no integrar el concepto de dotación. Téngase en cuenta que el concepto de dotación en materia laboral es una prestación regulada por el Código Sustantivo del Trabajo y sobre ella el Anexo Técnico del soporte de pago de nómina electrónica versión 1.0 en los NIES correspondientes al campo de “Dotación” describe que éste debe incluirse </w:t>
      </w:r>
      <w:r w:rsidRPr="00FB4C9C">
        <w:rPr>
          <w:rFonts w:ascii="Roboto Condensed" w:eastAsia="Times New Roman" w:hAnsi="Roboto Condensed" w:cs="Times New Roman"/>
          <w:i/>
          <w:iCs/>
          <w:spacing w:val="2"/>
          <w:kern w:val="0"/>
          <w:sz w:val="27"/>
          <w:szCs w:val="27"/>
          <w:lang w:eastAsia="es-CO"/>
          <w14:ligatures w14:val="none"/>
        </w:rPr>
        <w:t xml:space="preserve">“De conformidad con lo previsto en el artículo 230 del Código Sustantivo del Trabajo, o la norma que lo modifique, adicione o sustituya, </w:t>
      </w:r>
      <w:r w:rsidRPr="00FB4C9C">
        <w:rPr>
          <w:rFonts w:ascii="Roboto Condensed" w:eastAsia="Times New Roman" w:hAnsi="Roboto Condensed" w:cs="Times New Roman"/>
          <w:i/>
          <w:iCs/>
          <w:spacing w:val="2"/>
          <w:kern w:val="0"/>
          <w:sz w:val="27"/>
          <w:szCs w:val="27"/>
          <w:lang w:eastAsia="es-CO"/>
          <w14:ligatures w14:val="none"/>
        </w:rPr>
        <w:lastRenderedPageBreak/>
        <w:t>y corresponde al valor que el empleador dispone para suministrar la dotación de sus trabajadores”.</w:t>
      </w:r>
    </w:p>
    <w:p w14:paraId="59D04995" w14:textId="77777777" w:rsidR="00FB4C9C" w:rsidRPr="00FB4C9C" w:rsidRDefault="00FB4C9C" w:rsidP="00FB4C9C">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De manera que, valores que no obedezcan a dotación por enmarcarse en productos de uso general (optativos) que no se desprendan directamente de la relación laboral, legal o reglamentaria, no requieren ser incluidos en el documento soporte de pago de nómina electrónica (cfr. artículos </w:t>
      </w:r>
      <w:hyperlink r:id="rId10" w:anchor="1" w:history="1">
        <w:r w:rsidRPr="00FB4C9C">
          <w:rPr>
            <w:rFonts w:ascii="Roboto Condensed" w:eastAsia="Times New Roman" w:hAnsi="Roboto Condensed" w:cs="Times New Roman"/>
            <w:color w:val="0000FF"/>
            <w:spacing w:val="2"/>
            <w:kern w:val="0"/>
            <w:sz w:val="27"/>
            <w:szCs w:val="27"/>
            <w:u w:val="single"/>
            <w:lang w:eastAsia="es-CO"/>
            <w14:ligatures w14:val="none"/>
          </w:rPr>
          <w:t>1</w:t>
        </w:r>
      </w:hyperlink>
      <w:r w:rsidRPr="00FB4C9C">
        <w:rPr>
          <w:rFonts w:ascii="Roboto Condensed" w:eastAsia="Times New Roman" w:hAnsi="Roboto Condensed" w:cs="Times New Roman"/>
          <w:spacing w:val="2"/>
          <w:kern w:val="0"/>
          <w:sz w:val="27"/>
          <w:szCs w:val="27"/>
          <w:lang w:eastAsia="es-CO"/>
          <w14:ligatures w14:val="none"/>
        </w:rPr>
        <w:t> y </w:t>
      </w:r>
      <w:hyperlink r:id="rId11" w:anchor="2" w:history="1">
        <w:r w:rsidRPr="00FB4C9C">
          <w:rPr>
            <w:rFonts w:ascii="Roboto Condensed" w:eastAsia="Times New Roman" w:hAnsi="Roboto Condensed" w:cs="Times New Roman"/>
            <w:color w:val="0000FF"/>
            <w:spacing w:val="2"/>
            <w:kern w:val="0"/>
            <w:sz w:val="27"/>
            <w:szCs w:val="27"/>
            <w:u w:val="single"/>
            <w:lang w:eastAsia="es-CO"/>
            <w14:ligatures w14:val="none"/>
          </w:rPr>
          <w:t>2</w:t>
        </w:r>
      </w:hyperlink>
      <w:r w:rsidRPr="00FB4C9C">
        <w:rPr>
          <w:rFonts w:ascii="Roboto Condensed" w:eastAsia="Times New Roman" w:hAnsi="Roboto Condensed" w:cs="Times New Roman"/>
          <w:spacing w:val="2"/>
          <w:kern w:val="0"/>
          <w:sz w:val="27"/>
          <w:szCs w:val="27"/>
          <w:lang w:eastAsia="es-CO"/>
          <w14:ligatures w14:val="none"/>
        </w:rPr>
        <w:t> de la Resolución DIAN No. 000013 de 2021).</w:t>
      </w:r>
    </w:p>
    <w:p w14:paraId="26A3C45A" w14:textId="77777777" w:rsidR="00FB4C9C" w:rsidRPr="00FB4C9C" w:rsidRDefault="00FB4C9C" w:rsidP="00FB4C9C">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Para terminar, se precisa que las anteriores consideraciones generales se efectúan sin perjuicio del tratamiento contable de los hechos económicos particulares al que haya lugar y del debido cumplimiento de los requisitos generales y especiales vigentes en la normatividad tributaria para la procedencia de los gastos y deducciones aplicables en cada caso particular y concreto, lo cual deberá ser debidamente analizado y determinado por la peticionaria en su situación puntual.</w:t>
      </w:r>
    </w:p>
    <w:p w14:paraId="73B087C2" w14:textId="77777777" w:rsidR="00FB4C9C" w:rsidRPr="00FB4C9C" w:rsidRDefault="00FB4C9C" w:rsidP="00FB4C9C">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 xml:space="preserve">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www.dian.gov.co,la base de conceptos en materia tributaria, aduanera y cambiaria expedidos desde el año 2001, la cual se puede ingresar por el icono de “Normatividad” -“Doctrina”- dando </w:t>
      </w:r>
      <w:proofErr w:type="spellStart"/>
      <w:r w:rsidRPr="00FB4C9C">
        <w:rPr>
          <w:rFonts w:ascii="Roboto Condensed" w:eastAsia="Times New Roman" w:hAnsi="Roboto Condensed" w:cs="Times New Roman"/>
          <w:spacing w:val="2"/>
          <w:kern w:val="0"/>
          <w:sz w:val="27"/>
          <w:szCs w:val="27"/>
          <w:lang w:eastAsia="es-CO"/>
          <w14:ligatures w14:val="none"/>
        </w:rPr>
        <w:t>click</w:t>
      </w:r>
      <w:proofErr w:type="spellEnd"/>
      <w:r w:rsidRPr="00FB4C9C">
        <w:rPr>
          <w:rFonts w:ascii="Roboto Condensed" w:eastAsia="Times New Roman" w:hAnsi="Roboto Condensed" w:cs="Times New Roman"/>
          <w:spacing w:val="2"/>
          <w:kern w:val="0"/>
          <w:sz w:val="27"/>
          <w:szCs w:val="27"/>
          <w:lang w:eastAsia="es-CO"/>
          <w14:ligatures w14:val="none"/>
        </w:rPr>
        <w:t xml:space="preserve"> en el link “Doctrina Dirección de Gestión Jurídica”.</w:t>
      </w:r>
    </w:p>
    <w:p w14:paraId="5655203A" w14:textId="77777777" w:rsidR="00FB4C9C" w:rsidRPr="00FB4C9C" w:rsidRDefault="00FB4C9C" w:rsidP="00FB4C9C">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Atentamente,</w:t>
      </w:r>
    </w:p>
    <w:p w14:paraId="1AC22990" w14:textId="77777777" w:rsidR="00FB4C9C" w:rsidRPr="00FB4C9C" w:rsidRDefault="00FB4C9C" w:rsidP="00FB4C9C">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b/>
          <w:bCs/>
          <w:spacing w:val="2"/>
          <w:kern w:val="0"/>
          <w:sz w:val="27"/>
          <w:szCs w:val="27"/>
          <w:lang w:eastAsia="es-CO"/>
          <w14:ligatures w14:val="none"/>
        </w:rPr>
        <w:t>NICOLÁS BERNAL ABELLA</w:t>
      </w:r>
    </w:p>
    <w:p w14:paraId="25C140A5" w14:textId="77777777" w:rsidR="00FB4C9C" w:rsidRPr="00FB4C9C" w:rsidRDefault="00FB4C9C" w:rsidP="00FB4C9C">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Subdirector de Normativa y Doctrina (E)</w:t>
      </w:r>
    </w:p>
    <w:p w14:paraId="01D9D0CA" w14:textId="77777777" w:rsidR="00FB4C9C" w:rsidRPr="00FB4C9C" w:rsidRDefault="00FB4C9C" w:rsidP="00FB4C9C">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lastRenderedPageBreak/>
        <w:t>Dirección de Gestión Jurídica</w:t>
      </w:r>
    </w:p>
    <w:p w14:paraId="1C2B7681" w14:textId="77777777" w:rsidR="00FB4C9C" w:rsidRPr="00FB4C9C" w:rsidRDefault="00FB4C9C" w:rsidP="00FB4C9C">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FB4C9C">
        <w:rPr>
          <w:rFonts w:ascii="Roboto Condensed" w:eastAsia="Times New Roman" w:hAnsi="Roboto Condensed" w:cs="Times New Roman"/>
          <w:spacing w:val="2"/>
          <w:kern w:val="0"/>
          <w:sz w:val="27"/>
          <w:szCs w:val="27"/>
          <w:lang w:eastAsia="es-CO"/>
          <w14:ligatures w14:val="none"/>
        </w:rPr>
        <w:t>UAE- Dirección de Impuestos y Aduanas Nacionales</w:t>
      </w:r>
    </w:p>
    <w:p w14:paraId="023B323F" w14:textId="77777777" w:rsidR="0062566F" w:rsidRDefault="0062566F"/>
    <w:sectPr w:rsidR="006256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9C"/>
    <w:rsid w:val="0062566F"/>
    <w:rsid w:val="007564E6"/>
    <w:rsid w:val="00FB4C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2424"/>
  <w15:chartTrackingRefBased/>
  <w15:docId w15:val="{C85EF3FF-334C-40A2-B184-FD7F98ED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4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B4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B4C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B4C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B4C9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B4C9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B4C9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B4C9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B4C9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4C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B4C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B4C9C"/>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B4C9C"/>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B4C9C"/>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B4C9C"/>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B4C9C"/>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B4C9C"/>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B4C9C"/>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B4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4C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4C9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4C9C"/>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B4C9C"/>
    <w:pPr>
      <w:spacing w:before="160"/>
      <w:jc w:val="center"/>
    </w:pPr>
    <w:rPr>
      <w:i/>
      <w:iCs/>
      <w:color w:val="404040" w:themeColor="text1" w:themeTint="BF"/>
    </w:rPr>
  </w:style>
  <w:style w:type="character" w:customStyle="1" w:styleId="CitaCar">
    <w:name w:val="Cita Car"/>
    <w:basedOn w:val="Fuentedeprrafopredeter"/>
    <w:link w:val="Cita"/>
    <w:uiPriority w:val="29"/>
    <w:rsid w:val="00FB4C9C"/>
    <w:rPr>
      <w:i/>
      <w:iCs/>
      <w:color w:val="404040" w:themeColor="text1" w:themeTint="BF"/>
    </w:rPr>
  </w:style>
  <w:style w:type="paragraph" w:styleId="Prrafodelista">
    <w:name w:val="List Paragraph"/>
    <w:basedOn w:val="Normal"/>
    <w:uiPriority w:val="34"/>
    <w:qFormat/>
    <w:rsid w:val="00FB4C9C"/>
    <w:pPr>
      <w:ind w:left="720"/>
      <w:contextualSpacing/>
    </w:pPr>
  </w:style>
  <w:style w:type="character" w:styleId="nfasisintenso">
    <w:name w:val="Intense Emphasis"/>
    <w:basedOn w:val="Fuentedeprrafopredeter"/>
    <w:uiPriority w:val="21"/>
    <w:qFormat/>
    <w:rsid w:val="00FB4C9C"/>
    <w:rPr>
      <w:i/>
      <w:iCs/>
      <w:color w:val="0F4761" w:themeColor="accent1" w:themeShade="BF"/>
    </w:rPr>
  </w:style>
  <w:style w:type="paragraph" w:styleId="Citadestacada">
    <w:name w:val="Intense Quote"/>
    <w:basedOn w:val="Normal"/>
    <w:next w:val="Normal"/>
    <w:link w:val="CitadestacadaCar"/>
    <w:uiPriority w:val="30"/>
    <w:qFormat/>
    <w:rsid w:val="00FB4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4C9C"/>
    <w:rPr>
      <w:i/>
      <w:iCs/>
      <w:color w:val="0F4761" w:themeColor="accent1" w:themeShade="BF"/>
    </w:rPr>
  </w:style>
  <w:style w:type="character" w:styleId="Referenciaintensa">
    <w:name w:val="Intense Reference"/>
    <w:basedOn w:val="Fuentedeprrafopredeter"/>
    <w:uiPriority w:val="32"/>
    <w:qFormat/>
    <w:rsid w:val="00FB4C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66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resolucion_dian_0013_2021.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ormograma.dian.gov.co/dian/compilacion/docs/decreto_1742_2020.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ograma.dian.gov.co/dian/compilacion/docs/decreto_1742_2020.htm" TargetMode="External"/><Relationship Id="rId11" Type="http://schemas.openxmlformats.org/officeDocument/2006/relationships/hyperlink" Target="https://normograma.dian.gov.co/dian/compilacion/docs/resolucion_dian_0013_2021.htm" TargetMode="External"/><Relationship Id="rId5" Type="http://schemas.openxmlformats.org/officeDocument/2006/relationships/hyperlink" Target="https://normograma.dian.gov.co/dian/compilacion/docs/resolucion_dian_0013_2021.htm" TargetMode="External"/><Relationship Id="rId10" Type="http://schemas.openxmlformats.org/officeDocument/2006/relationships/hyperlink" Target="https://normograma.dian.gov.co/dian/compilacion/docs/resolucion_dian_0013_2021.htm" TargetMode="External"/><Relationship Id="rId4" Type="http://schemas.openxmlformats.org/officeDocument/2006/relationships/hyperlink" Target="https://normograma.dian.gov.co/dian/compilacion/docs/estatuto_tributario.htm" TargetMode="External"/><Relationship Id="rId9" Type="http://schemas.openxmlformats.org/officeDocument/2006/relationships/hyperlink" Target="https://normograma.dian.gov.co/dian/compilacion/docs/oficio_dian_908125_2021.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7745</Characters>
  <Application>Microsoft Office Word</Application>
  <DocSecurity>0</DocSecurity>
  <Lines>143</Lines>
  <Paragraphs>48</Paragraphs>
  <ScaleCrop>false</ScaleCrop>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2</cp:revision>
  <dcterms:created xsi:type="dcterms:W3CDTF">2024-04-15T16:07:00Z</dcterms:created>
  <dcterms:modified xsi:type="dcterms:W3CDTF">2024-04-15T16:07:00Z</dcterms:modified>
</cp:coreProperties>
</file>