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0F4BC" w14:textId="77777777" w:rsidR="00F62891" w:rsidRPr="00F62891" w:rsidRDefault="00F62891" w:rsidP="00F62891">
      <w:pPr>
        <w:spacing w:after="0" w:line="480" w:lineRule="atLeast"/>
        <w:jc w:val="center"/>
        <w:rPr>
          <w:rFonts w:eastAsia="Times New Roman"/>
          <w:spacing w:val="2"/>
          <w:kern w:val="0"/>
          <w:sz w:val="32"/>
          <w:szCs w:val="32"/>
          <w:highlight w:val="cyan"/>
          <w:lang w:eastAsia="es-CO"/>
          <w14:ligatures w14:val="none"/>
        </w:rPr>
      </w:pPr>
      <w:r w:rsidRPr="00F62891">
        <w:rPr>
          <w:rFonts w:eastAsia="Times New Roman"/>
          <w:b/>
          <w:bCs/>
          <w:spacing w:val="2"/>
          <w:kern w:val="0"/>
          <w:sz w:val="32"/>
          <w:szCs w:val="32"/>
          <w:highlight w:val="cyan"/>
          <w:lang w:eastAsia="es-CO"/>
          <w14:ligatures w14:val="none"/>
        </w:rPr>
        <w:t>OFICIO 900205 DE 2022</w:t>
      </w:r>
    </w:p>
    <w:p w14:paraId="7F198B0A" w14:textId="77777777" w:rsidR="00F62891" w:rsidRPr="00F62891" w:rsidRDefault="00F62891" w:rsidP="00F62891">
      <w:pPr>
        <w:spacing w:after="240" w:line="480" w:lineRule="atLeast"/>
        <w:jc w:val="center"/>
        <w:rPr>
          <w:rFonts w:eastAsia="Times New Roman"/>
          <w:spacing w:val="2"/>
          <w:kern w:val="0"/>
          <w:sz w:val="32"/>
          <w:szCs w:val="32"/>
          <w:lang w:eastAsia="es-CO"/>
          <w14:ligatures w14:val="none"/>
        </w:rPr>
      </w:pPr>
      <w:r w:rsidRPr="00F62891">
        <w:rPr>
          <w:rFonts w:eastAsia="Times New Roman"/>
          <w:spacing w:val="2"/>
          <w:kern w:val="0"/>
          <w:sz w:val="32"/>
          <w:szCs w:val="32"/>
          <w:highlight w:val="cyan"/>
          <w:lang w:eastAsia="es-CO"/>
          <w14:ligatures w14:val="none"/>
        </w:rPr>
        <w:t>(enero 13)</w:t>
      </w:r>
    </w:p>
    <w:p w14:paraId="11F7E80F" w14:textId="77777777" w:rsidR="00F62891" w:rsidRPr="00F62891" w:rsidRDefault="00F62891" w:rsidP="00F62891">
      <w:pPr>
        <w:spacing w:after="240" w:line="480" w:lineRule="atLeast"/>
        <w:jc w:val="both"/>
        <w:rPr>
          <w:rFonts w:eastAsia="Times New Roman"/>
          <w:spacing w:val="2"/>
          <w:kern w:val="0"/>
          <w:lang w:eastAsia="es-CO"/>
          <w14:ligatures w14:val="none"/>
        </w:rPr>
      </w:pPr>
      <w:r w:rsidRPr="00F62891">
        <w:rPr>
          <w:rFonts w:eastAsia="Times New Roman"/>
          <w:spacing w:val="2"/>
          <w:kern w:val="0"/>
          <w:lang w:eastAsia="es-CO"/>
          <w14:ligatures w14:val="none"/>
        </w:rPr>
        <w:t>&lt;Fuente: Archivo interno entidad emisora&gt;</w:t>
      </w:r>
    </w:p>
    <w:p w14:paraId="6E8E50CD" w14:textId="77777777" w:rsidR="00F62891" w:rsidRPr="00F62891" w:rsidRDefault="00F62891" w:rsidP="00F62891">
      <w:pPr>
        <w:spacing w:after="240" w:line="480" w:lineRule="atLeast"/>
        <w:jc w:val="both"/>
        <w:rPr>
          <w:rFonts w:eastAsia="Times New Roman"/>
          <w:spacing w:val="2"/>
          <w:kern w:val="0"/>
          <w:lang w:eastAsia="es-CO"/>
          <w14:ligatures w14:val="none"/>
        </w:rPr>
      </w:pPr>
      <w:r w:rsidRPr="00F62891">
        <w:rPr>
          <w:rFonts w:eastAsia="Times New Roman"/>
          <w:spacing w:val="2"/>
          <w:kern w:val="0"/>
          <w:lang w:eastAsia="es-CO"/>
          <w14:ligatures w14:val="none"/>
        </w:rPr>
        <w:t>&lt;Publicado en la página web de la DIAN: 09 de mayo de 2022&gt;</w:t>
      </w:r>
    </w:p>
    <w:p w14:paraId="64BEC201" w14:textId="77777777" w:rsidR="00F62891" w:rsidRPr="00F62891" w:rsidRDefault="00F62891" w:rsidP="00F62891">
      <w:pPr>
        <w:spacing w:after="0" w:line="480" w:lineRule="atLeast"/>
        <w:jc w:val="both"/>
        <w:rPr>
          <w:rFonts w:eastAsia="Times New Roman"/>
          <w:spacing w:val="2"/>
          <w:kern w:val="0"/>
          <w:lang w:eastAsia="es-CO"/>
          <w14:ligatures w14:val="none"/>
        </w:rPr>
      </w:pPr>
      <w:r w:rsidRPr="00F62891">
        <w:rPr>
          <w:rFonts w:eastAsia="Times New Roman"/>
          <w:b/>
          <w:bCs/>
          <w:spacing w:val="2"/>
          <w:kern w:val="0"/>
          <w:lang w:eastAsia="es-CO"/>
          <w14:ligatures w14:val="none"/>
        </w:rPr>
        <w:t>DIRECCIÓN DE IMPUESTOS Y ADUANAS NACIONALES</w:t>
      </w:r>
    </w:p>
    <w:p w14:paraId="0525922F" w14:textId="77777777" w:rsidR="00F62891" w:rsidRPr="00F62891" w:rsidRDefault="00F62891" w:rsidP="00F62891">
      <w:pPr>
        <w:spacing w:after="240" w:line="480" w:lineRule="atLeast"/>
        <w:jc w:val="both"/>
        <w:rPr>
          <w:rFonts w:eastAsia="Times New Roman"/>
          <w:spacing w:val="2"/>
          <w:kern w:val="0"/>
          <w:lang w:eastAsia="es-CO"/>
          <w14:ligatures w14:val="none"/>
        </w:rPr>
      </w:pPr>
      <w:r w:rsidRPr="00F62891">
        <w:rPr>
          <w:rFonts w:eastAsia="Times New Roman"/>
          <w:spacing w:val="2"/>
          <w:kern w:val="0"/>
          <w:lang w:eastAsia="es-CO"/>
          <w14:ligatures w14:val="none"/>
        </w:rPr>
        <w:t>100208192-23</w:t>
      </w:r>
    </w:p>
    <w:p w14:paraId="0D65C52E" w14:textId="77777777" w:rsidR="00F62891" w:rsidRPr="00F62891" w:rsidRDefault="00F62891" w:rsidP="00F62891">
      <w:pPr>
        <w:spacing w:after="0" w:line="480" w:lineRule="atLeast"/>
        <w:jc w:val="both"/>
        <w:rPr>
          <w:rFonts w:eastAsia="Times New Roman"/>
          <w:spacing w:val="2"/>
          <w:kern w:val="0"/>
          <w:highlight w:val="cyan"/>
          <w:lang w:eastAsia="es-CO"/>
          <w14:ligatures w14:val="none"/>
        </w:rPr>
      </w:pPr>
      <w:r w:rsidRPr="00F62891">
        <w:rPr>
          <w:rFonts w:eastAsia="Times New Roman"/>
          <w:spacing w:val="2"/>
          <w:kern w:val="0"/>
          <w:highlight w:val="cyan"/>
          <w:lang w:eastAsia="es-CO"/>
          <w14:ligatures w14:val="none"/>
        </w:rPr>
        <w:t>Bogotá, D.C. </w:t>
      </w:r>
      <w:r w:rsidRPr="00F62891">
        <w:rPr>
          <w:rFonts w:eastAsia="Times New Roman"/>
          <w:b/>
          <w:bCs/>
          <w:spacing w:val="2"/>
          <w:kern w:val="0"/>
          <w:highlight w:val="cyan"/>
          <w:lang w:eastAsia="es-CO"/>
          <w14:ligatures w14:val="none"/>
        </w:rPr>
        <w:t>13/01/2022</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07"/>
        <w:gridCol w:w="6431"/>
      </w:tblGrid>
      <w:tr w:rsidR="00F62891" w:rsidRPr="00F62891" w14:paraId="71A5353A" w14:textId="77777777" w:rsidTr="00F62891">
        <w:trPr>
          <w:tblCellSpacing w:w="15" w:type="dxa"/>
        </w:trPr>
        <w:tc>
          <w:tcPr>
            <w:tcW w:w="1350" w:type="pct"/>
            <w:tcBorders>
              <w:top w:val="nil"/>
              <w:left w:val="nil"/>
              <w:bottom w:val="nil"/>
              <w:right w:val="nil"/>
            </w:tcBorders>
            <w:tcMar>
              <w:top w:w="0" w:type="dxa"/>
              <w:left w:w="0" w:type="dxa"/>
              <w:bottom w:w="0" w:type="dxa"/>
              <w:right w:w="0" w:type="dxa"/>
            </w:tcMar>
            <w:hideMark/>
          </w:tcPr>
          <w:p w14:paraId="144A40B8" w14:textId="77777777" w:rsidR="00F62891" w:rsidRPr="00F62891" w:rsidRDefault="00F62891" w:rsidP="00F62891">
            <w:pPr>
              <w:spacing w:after="0" w:line="245" w:lineRule="atLeast"/>
              <w:jc w:val="both"/>
              <w:rPr>
                <w:rFonts w:eastAsia="Times New Roman"/>
                <w:spacing w:val="2"/>
                <w:kern w:val="0"/>
                <w:highlight w:val="cyan"/>
                <w:lang w:eastAsia="es-CO"/>
                <w14:ligatures w14:val="none"/>
              </w:rPr>
            </w:pPr>
            <w:r w:rsidRPr="00F62891">
              <w:rPr>
                <w:rFonts w:eastAsia="Times New Roman"/>
                <w:spacing w:val="2"/>
                <w:kern w:val="0"/>
                <w:highlight w:val="cyan"/>
                <w:lang w:eastAsia="es-CO"/>
                <w14:ligatures w14:val="none"/>
              </w:rPr>
              <w:t>Tema:</w:t>
            </w:r>
          </w:p>
        </w:tc>
        <w:tc>
          <w:tcPr>
            <w:tcW w:w="3650" w:type="pct"/>
            <w:tcBorders>
              <w:top w:val="nil"/>
              <w:left w:val="nil"/>
              <w:bottom w:val="nil"/>
              <w:right w:val="nil"/>
            </w:tcBorders>
            <w:tcMar>
              <w:top w:w="0" w:type="dxa"/>
              <w:left w:w="0" w:type="dxa"/>
              <w:bottom w:w="0" w:type="dxa"/>
              <w:right w:w="0" w:type="dxa"/>
            </w:tcMar>
            <w:hideMark/>
          </w:tcPr>
          <w:p w14:paraId="7FA17F7F" w14:textId="77777777" w:rsidR="00F62891" w:rsidRPr="00F62891" w:rsidRDefault="00F62891" w:rsidP="00F62891">
            <w:pPr>
              <w:spacing w:after="0" w:line="245" w:lineRule="atLeast"/>
              <w:jc w:val="both"/>
              <w:rPr>
                <w:rFonts w:eastAsia="Times New Roman"/>
                <w:spacing w:val="2"/>
                <w:kern w:val="0"/>
                <w:highlight w:val="cyan"/>
                <w:lang w:eastAsia="es-CO"/>
                <w14:ligatures w14:val="none"/>
              </w:rPr>
            </w:pPr>
            <w:r w:rsidRPr="00F62891">
              <w:rPr>
                <w:rFonts w:eastAsia="Times New Roman"/>
                <w:spacing w:val="2"/>
                <w:kern w:val="0"/>
                <w:highlight w:val="cyan"/>
                <w:lang w:eastAsia="es-CO"/>
                <w14:ligatures w14:val="none"/>
              </w:rPr>
              <w:t>Régimen Simple de Tributación - Simple</w:t>
            </w:r>
          </w:p>
        </w:tc>
      </w:tr>
      <w:tr w:rsidR="00F62891" w:rsidRPr="00F62891" w14:paraId="069AB0D4" w14:textId="77777777" w:rsidTr="00F62891">
        <w:trPr>
          <w:tblCellSpacing w:w="15" w:type="dxa"/>
        </w:trPr>
        <w:tc>
          <w:tcPr>
            <w:tcW w:w="1350" w:type="pct"/>
            <w:tcBorders>
              <w:top w:val="nil"/>
              <w:left w:val="nil"/>
              <w:bottom w:val="nil"/>
              <w:right w:val="nil"/>
            </w:tcBorders>
            <w:tcMar>
              <w:top w:w="0" w:type="dxa"/>
              <w:left w:w="0" w:type="dxa"/>
              <w:bottom w:w="0" w:type="dxa"/>
              <w:right w:w="0" w:type="dxa"/>
            </w:tcMar>
            <w:vAlign w:val="center"/>
            <w:hideMark/>
          </w:tcPr>
          <w:p w14:paraId="69F7E947" w14:textId="77777777" w:rsidR="00F62891" w:rsidRPr="00F62891" w:rsidRDefault="00F62891" w:rsidP="00F62891">
            <w:pPr>
              <w:spacing w:after="0" w:line="245" w:lineRule="atLeast"/>
              <w:jc w:val="both"/>
              <w:rPr>
                <w:rFonts w:eastAsia="Times New Roman"/>
                <w:spacing w:val="2"/>
                <w:kern w:val="0"/>
                <w:highlight w:val="cyan"/>
                <w:lang w:eastAsia="es-CO"/>
                <w14:ligatures w14:val="none"/>
              </w:rPr>
            </w:pPr>
            <w:r w:rsidRPr="00F62891">
              <w:rPr>
                <w:rFonts w:eastAsia="Times New Roman"/>
                <w:spacing w:val="2"/>
                <w:kern w:val="0"/>
                <w:highlight w:val="cyan"/>
                <w:lang w:eastAsia="es-CO"/>
                <w14:ligatures w14:val="none"/>
              </w:rPr>
              <w:t>Descriptores:</w:t>
            </w:r>
          </w:p>
        </w:tc>
        <w:tc>
          <w:tcPr>
            <w:tcW w:w="3650" w:type="pct"/>
            <w:tcBorders>
              <w:top w:val="nil"/>
              <w:left w:val="nil"/>
              <w:bottom w:val="nil"/>
              <w:right w:val="nil"/>
            </w:tcBorders>
            <w:tcMar>
              <w:top w:w="0" w:type="dxa"/>
              <w:left w:w="0" w:type="dxa"/>
              <w:bottom w:w="0" w:type="dxa"/>
              <w:right w:w="0" w:type="dxa"/>
            </w:tcMar>
            <w:hideMark/>
          </w:tcPr>
          <w:p w14:paraId="66BD48B2" w14:textId="77777777" w:rsidR="00F62891" w:rsidRPr="00F62891" w:rsidRDefault="00F62891" w:rsidP="00F62891">
            <w:pPr>
              <w:spacing w:after="0" w:line="245" w:lineRule="atLeast"/>
              <w:jc w:val="both"/>
              <w:rPr>
                <w:rFonts w:eastAsia="Times New Roman"/>
                <w:spacing w:val="2"/>
                <w:kern w:val="0"/>
                <w:highlight w:val="cyan"/>
                <w:lang w:eastAsia="es-CO"/>
                <w14:ligatures w14:val="none"/>
              </w:rPr>
            </w:pPr>
            <w:r w:rsidRPr="00F62891">
              <w:rPr>
                <w:rFonts w:eastAsia="Times New Roman"/>
                <w:spacing w:val="2"/>
                <w:kern w:val="0"/>
                <w:highlight w:val="cyan"/>
                <w:lang w:eastAsia="es-CO"/>
                <w14:ligatures w14:val="none"/>
              </w:rPr>
              <w:t>Sujetos que no pueden optar por el impuesto unificado</w:t>
            </w:r>
          </w:p>
        </w:tc>
      </w:tr>
      <w:tr w:rsidR="00F62891" w:rsidRPr="00F62891" w14:paraId="16182269" w14:textId="77777777" w:rsidTr="00F62891">
        <w:trPr>
          <w:tblCellSpacing w:w="15" w:type="dxa"/>
        </w:trPr>
        <w:tc>
          <w:tcPr>
            <w:tcW w:w="1350" w:type="pct"/>
            <w:tcBorders>
              <w:top w:val="nil"/>
              <w:left w:val="nil"/>
              <w:bottom w:val="nil"/>
              <w:right w:val="nil"/>
            </w:tcBorders>
            <w:tcMar>
              <w:top w:w="0" w:type="dxa"/>
              <w:left w:w="0" w:type="dxa"/>
              <w:bottom w:w="0" w:type="dxa"/>
              <w:right w:w="0" w:type="dxa"/>
            </w:tcMar>
            <w:vAlign w:val="center"/>
            <w:hideMark/>
          </w:tcPr>
          <w:p w14:paraId="777E7886" w14:textId="77777777" w:rsidR="00F62891" w:rsidRPr="00F62891" w:rsidRDefault="00F62891" w:rsidP="00F62891">
            <w:pPr>
              <w:spacing w:before="144" w:after="0" w:line="245" w:lineRule="atLeast"/>
              <w:jc w:val="both"/>
              <w:rPr>
                <w:rFonts w:eastAsia="Times New Roman"/>
                <w:spacing w:val="2"/>
                <w:kern w:val="0"/>
                <w:highlight w:val="cyan"/>
                <w:lang w:eastAsia="es-CO"/>
                <w14:ligatures w14:val="none"/>
              </w:rPr>
            </w:pPr>
            <w:r w:rsidRPr="00F62891">
              <w:rPr>
                <w:rFonts w:eastAsia="Times New Roman"/>
                <w:spacing w:val="2"/>
                <w:kern w:val="0"/>
                <w:highlight w:val="cyan"/>
                <w:lang w:eastAsia="es-CO"/>
                <w14:ligatures w14:val="none"/>
              </w:rPr>
              <w:t>Fuentes formales:</w:t>
            </w:r>
          </w:p>
        </w:tc>
        <w:tc>
          <w:tcPr>
            <w:tcW w:w="3650" w:type="pct"/>
            <w:tcBorders>
              <w:top w:val="nil"/>
              <w:left w:val="nil"/>
              <w:bottom w:val="nil"/>
              <w:right w:val="nil"/>
            </w:tcBorders>
            <w:tcMar>
              <w:top w:w="0" w:type="dxa"/>
              <w:left w:w="0" w:type="dxa"/>
              <w:bottom w:w="0" w:type="dxa"/>
              <w:right w:w="0" w:type="dxa"/>
            </w:tcMar>
            <w:hideMark/>
          </w:tcPr>
          <w:p w14:paraId="49E29FC5" w14:textId="77777777" w:rsidR="00F62891" w:rsidRPr="00F62891" w:rsidRDefault="00F62891" w:rsidP="00F62891">
            <w:pPr>
              <w:spacing w:after="0" w:line="245" w:lineRule="atLeast"/>
              <w:jc w:val="both"/>
              <w:rPr>
                <w:rFonts w:eastAsia="Times New Roman"/>
                <w:spacing w:val="2"/>
                <w:kern w:val="0"/>
                <w:lang w:eastAsia="es-CO"/>
                <w14:ligatures w14:val="none"/>
              </w:rPr>
            </w:pPr>
            <w:r w:rsidRPr="00F62891">
              <w:rPr>
                <w:rFonts w:eastAsia="Times New Roman"/>
                <w:spacing w:val="2"/>
                <w:kern w:val="0"/>
                <w:highlight w:val="cyan"/>
                <w:lang w:eastAsia="es-CO"/>
                <w14:ligatures w14:val="none"/>
              </w:rPr>
              <w:t>Artículos </w:t>
            </w:r>
            <w:hyperlink r:id="rId4" w:anchor="904" w:history="1">
              <w:r w:rsidRPr="00F62891">
                <w:rPr>
                  <w:rFonts w:eastAsia="Times New Roman"/>
                  <w:color w:val="0000FF"/>
                  <w:spacing w:val="2"/>
                  <w:kern w:val="0"/>
                  <w:highlight w:val="cyan"/>
                  <w:u w:val="single"/>
                  <w:lang w:eastAsia="es-CO"/>
                  <w14:ligatures w14:val="none"/>
                </w:rPr>
                <w:t>904</w:t>
              </w:r>
            </w:hyperlink>
            <w:r w:rsidRPr="00F62891">
              <w:rPr>
                <w:rFonts w:eastAsia="Times New Roman"/>
                <w:spacing w:val="2"/>
                <w:kern w:val="0"/>
                <w:highlight w:val="cyan"/>
                <w:lang w:eastAsia="es-CO"/>
                <w14:ligatures w14:val="none"/>
              </w:rPr>
              <w:t> y siguientes del Estatuto Tributario Decreto </w:t>
            </w:r>
            <w:hyperlink r:id="rId5" w:anchor="inicio" w:history="1">
              <w:r w:rsidRPr="00F62891">
                <w:rPr>
                  <w:rFonts w:eastAsia="Times New Roman"/>
                  <w:color w:val="0000FF"/>
                  <w:spacing w:val="2"/>
                  <w:kern w:val="0"/>
                  <w:highlight w:val="cyan"/>
                  <w:u w:val="single"/>
                  <w:lang w:eastAsia="es-CO"/>
                  <w14:ligatures w14:val="none"/>
                </w:rPr>
                <w:t>1091</w:t>
              </w:r>
            </w:hyperlink>
            <w:r w:rsidRPr="00F62891">
              <w:rPr>
                <w:rFonts w:eastAsia="Times New Roman"/>
                <w:spacing w:val="2"/>
                <w:kern w:val="0"/>
                <w:highlight w:val="cyan"/>
                <w:lang w:eastAsia="es-CO"/>
                <w14:ligatures w14:val="none"/>
              </w:rPr>
              <w:t> de 2020 Artículo </w:t>
            </w:r>
            <w:hyperlink r:id="rId6" w:anchor="1.5.8.4.1" w:history="1">
              <w:r w:rsidRPr="00F62891">
                <w:rPr>
                  <w:rFonts w:eastAsia="Times New Roman"/>
                  <w:color w:val="0000FF"/>
                  <w:spacing w:val="2"/>
                  <w:kern w:val="0"/>
                  <w:highlight w:val="cyan"/>
                  <w:u w:val="single"/>
                  <w:lang w:eastAsia="es-CO"/>
                  <w14:ligatures w14:val="none"/>
                </w:rPr>
                <w:t>1.5.8.4.1</w:t>
              </w:r>
            </w:hyperlink>
            <w:r w:rsidRPr="00F62891">
              <w:rPr>
                <w:rFonts w:eastAsia="Times New Roman"/>
                <w:spacing w:val="2"/>
                <w:kern w:val="0"/>
                <w:highlight w:val="cyan"/>
                <w:lang w:eastAsia="es-CO"/>
                <w14:ligatures w14:val="none"/>
              </w:rPr>
              <w:t>. del Decreto 1625 de 2016</w:t>
            </w:r>
          </w:p>
        </w:tc>
      </w:tr>
    </w:tbl>
    <w:p w14:paraId="36ECC174" w14:textId="77777777" w:rsidR="00F62891" w:rsidRPr="00F62891" w:rsidRDefault="00F62891" w:rsidP="00F62891">
      <w:pPr>
        <w:spacing w:after="240" w:line="480" w:lineRule="atLeast"/>
        <w:jc w:val="both"/>
        <w:rPr>
          <w:rFonts w:eastAsia="Times New Roman"/>
          <w:spacing w:val="2"/>
          <w:kern w:val="0"/>
          <w:lang w:eastAsia="es-CO"/>
          <w14:ligatures w14:val="none"/>
        </w:rPr>
      </w:pPr>
      <w:r w:rsidRPr="00F62891">
        <w:rPr>
          <w:rFonts w:eastAsia="Times New Roman"/>
          <w:spacing w:val="2"/>
          <w:kern w:val="0"/>
          <w:lang w:eastAsia="es-CO"/>
          <w14:ligatures w14:val="none"/>
        </w:rPr>
        <w:t>Cordial saludo,</w:t>
      </w:r>
    </w:p>
    <w:p w14:paraId="33C65888" w14:textId="77777777" w:rsidR="00F62891" w:rsidRPr="00F62891" w:rsidRDefault="00F62891" w:rsidP="00F62891">
      <w:pPr>
        <w:spacing w:after="0" w:line="480" w:lineRule="atLeast"/>
        <w:jc w:val="both"/>
        <w:rPr>
          <w:rFonts w:eastAsia="Times New Roman"/>
          <w:spacing w:val="2"/>
          <w:kern w:val="0"/>
          <w:lang w:eastAsia="es-CO"/>
          <w14:ligatures w14:val="none"/>
        </w:rPr>
      </w:pPr>
      <w:r w:rsidRPr="00F62891">
        <w:rPr>
          <w:rFonts w:eastAsia="Times New Roman"/>
          <w:spacing w:val="2"/>
          <w:kern w:val="0"/>
          <w:lang w:eastAsia="es-CO"/>
          <w14:ligatures w14:val="none"/>
        </w:rPr>
        <w:t>De conformidad con el artículo </w:t>
      </w:r>
      <w:hyperlink r:id="rId7" w:anchor="56" w:history="1">
        <w:r w:rsidRPr="00F62891">
          <w:rPr>
            <w:rFonts w:eastAsia="Times New Roman"/>
            <w:color w:val="0000FF"/>
            <w:spacing w:val="2"/>
            <w:kern w:val="0"/>
            <w:u w:val="single"/>
            <w:lang w:eastAsia="es-CO"/>
            <w14:ligatures w14:val="none"/>
          </w:rPr>
          <w:t>56</w:t>
        </w:r>
      </w:hyperlink>
      <w:r w:rsidRPr="00F62891">
        <w:rPr>
          <w:rFonts w:eastAsia="Times New Roman"/>
          <w:spacing w:val="2"/>
          <w:kern w:val="0"/>
          <w:lang w:eastAsia="es-CO"/>
          <w14:ligatures w14:val="none"/>
        </w:rPr>
        <w:t> del Decreto 1742 de 2020, este Despacho está facultado para absolver las consultas escritas generales que se formulen sobre la interpretación y aplicación de las normas tributarias, aduaneras y de fiscalización cambiaria, en el marco de las competencias de la Dirección de Impuestos y Aduanas Nacionales. Por consiguiente, no corresponde a este Despacho, en ejercicio de las funciones descritas anteriormente, prestar asesoría específica para atender casos particulares, ni juzgar o calificar las decisiones tomadas por otras dependencias o entidades.</w:t>
      </w:r>
    </w:p>
    <w:p w14:paraId="1FFEF7E8" w14:textId="77777777" w:rsidR="00F62891" w:rsidRPr="00F62891" w:rsidRDefault="00F62891" w:rsidP="00F62891">
      <w:pPr>
        <w:spacing w:after="0" w:line="480" w:lineRule="atLeast"/>
        <w:jc w:val="both"/>
        <w:rPr>
          <w:rFonts w:eastAsia="Times New Roman"/>
          <w:spacing w:val="2"/>
          <w:kern w:val="0"/>
          <w:lang w:eastAsia="es-CO"/>
          <w14:ligatures w14:val="none"/>
        </w:rPr>
      </w:pPr>
    </w:p>
    <w:p w14:paraId="5B3F27A1" w14:textId="28A6BF20" w:rsidR="00F62891" w:rsidRPr="00F62891" w:rsidRDefault="00F62891" w:rsidP="00F62891">
      <w:pPr>
        <w:spacing w:after="0" w:line="480" w:lineRule="atLeast"/>
        <w:jc w:val="both"/>
        <w:rPr>
          <w:rFonts w:eastAsia="Times New Roman"/>
          <w:spacing w:val="2"/>
          <w:kern w:val="0"/>
          <w:lang w:eastAsia="es-CO"/>
          <w14:ligatures w14:val="none"/>
        </w:rPr>
      </w:pPr>
      <w:r w:rsidRPr="00F62891">
        <w:rPr>
          <w:rFonts w:eastAsia="Times New Roman"/>
          <w:spacing w:val="2"/>
          <w:kern w:val="0"/>
          <w:lang w:eastAsia="es-CO"/>
          <w14:ligatures w14:val="none"/>
        </w:rPr>
        <w:t>Mediante el radicado de la referencia, el peticionario solicita “</w:t>
      </w:r>
      <w:r w:rsidRPr="00F62891">
        <w:rPr>
          <w:rFonts w:eastAsia="Times New Roman"/>
          <w:i/>
          <w:iCs/>
          <w:spacing w:val="2"/>
          <w:kern w:val="0"/>
          <w:lang w:eastAsia="es-CO"/>
          <w14:ligatures w14:val="none"/>
        </w:rPr>
        <w:t>se aclare si una sociedad S.A.S., que posee una participación del 50% en una unión temporal, puede pertenecer al Régimen Simple de Tributación”.</w:t>
      </w:r>
    </w:p>
    <w:p w14:paraId="20E03D9B" w14:textId="77777777" w:rsidR="00F62891" w:rsidRPr="00F62891" w:rsidRDefault="00F62891" w:rsidP="00F62891">
      <w:pPr>
        <w:spacing w:after="240" w:line="480" w:lineRule="atLeast"/>
        <w:jc w:val="both"/>
        <w:rPr>
          <w:rFonts w:eastAsia="Times New Roman"/>
          <w:spacing w:val="2"/>
          <w:kern w:val="0"/>
          <w:lang w:eastAsia="es-CO"/>
          <w14:ligatures w14:val="none"/>
        </w:rPr>
      </w:pPr>
      <w:r w:rsidRPr="00F62891">
        <w:rPr>
          <w:rFonts w:eastAsia="Times New Roman"/>
          <w:spacing w:val="2"/>
          <w:kern w:val="0"/>
          <w:lang w:eastAsia="es-CO"/>
          <w14:ligatures w14:val="none"/>
        </w:rPr>
        <w:lastRenderedPageBreak/>
        <w:t>Sobre el particular, las consideraciones de este Despacho son las siguientes, no sin antes reiterar que no le corresponde pronunciarse sobre situaciones de carácter particular ni prestar asesoría específica, por lo que su inquietud se atenderá de forma general, así:</w:t>
      </w:r>
    </w:p>
    <w:p w14:paraId="55A82F49" w14:textId="77777777" w:rsidR="00F62891" w:rsidRPr="00F62891" w:rsidRDefault="00F62891" w:rsidP="00F62891">
      <w:pPr>
        <w:spacing w:after="0" w:line="480" w:lineRule="atLeast"/>
        <w:jc w:val="both"/>
        <w:rPr>
          <w:rFonts w:eastAsia="Times New Roman"/>
          <w:spacing w:val="2"/>
          <w:kern w:val="0"/>
          <w:lang w:eastAsia="es-CO"/>
          <w14:ligatures w14:val="none"/>
        </w:rPr>
      </w:pPr>
      <w:r w:rsidRPr="00F62891">
        <w:rPr>
          <w:rFonts w:eastAsia="Times New Roman"/>
          <w:spacing w:val="2"/>
          <w:kern w:val="0"/>
          <w:lang w:eastAsia="es-CO"/>
          <w14:ligatures w14:val="none"/>
        </w:rPr>
        <w:t>El Gobierno nacional mediante el artículo </w:t>
      </w:r>
      <w:hyperlink r:id="rId8" w:anchor="74" w:history="1">
        <w:r w:rsidRPr="00F62891">
          <w:rPr>
            <w:rFonts w:eastAsia="Times New Roman"/>
            <w:color w:val="0000FF"/>
            <w:spacing w:val="2"/>
            <w:kern w:val="0"/>
            <w:u w:val="single"/>
            <w:lang w:eastAsia="es-CO"/>
            <w14:ligatures w14:val="none"/>
          </w:rPr>
          <w:t>74</w:t>
        </w:r>
      </w:hyperlink>
      <w:r w:rsidRPr="00F62891">
        <w:rPr>
          <w:rFonts w:eastAsia="Times New Roman"/>
          <w:spacing w:val="2"/>
          <w:kern w:val="0"/>
          <w:lang w:eastAsia="es-CO"/>
          <w14:ligatures w14:val="none"/>
        </w:rPr>
        <w:t> de la Ley 2010 de 2019, sustituyó el Libro Octavo del Estatuto Tributario, con el cual se creó el Impuesto Unificado bajo el Régimen Simple de Tributación- SIMPLE a partir del 1 de enero de 2020. Mediante el Decreto </w:t>
      </w:r>
      <w:hyperlink r:id="rId9" w:anchor="INICIO" w:history="1">
        <w:r w:rsidRPr="00F62891">
          <w:rPr>
            <w:rFonts w:eastAsia="Times New Roman"/>
            <w:color w:val="0000FF"/>
            <w:spacing w:val="2"/>
            <w:kern w:val="0"/>
            <w:u w:val="single"/>
            <w:lang w:eastAsia="es-CO"/>
            <w14:ligatures w14:val="none"/>
          </w:rPr>
          <w:t>1091</w:t>
        </w:r>
      </w:hyperlink>
      <w:r w:rsidRPr="00F62891">
        <w:rPr>
          <w:rFonts w:eastAsia="Times New Roman"/>
          <w:spacing w:val="2"/>
          <w:kern w:val="0"/>
          <w:lang w:eastAsia="es-CO"/>
          <w14:ligatures w14:val="none"/>
        </w:rPr>
        <w:t> de 2020 el Gobierno nacional reglamentó la materia.</w:t>
      </w:r>
    </w:p>
    <w:p w14:paraId="2F51A379" w14:textId="77777777" w:rsidR="00F62891" w:rsidRPr="00F62891" w:rsidRDefault="00F62891" w:rsidP="00F62891">
      <w:pPr>
        <w:spacing w:after="0" w:line="480" w:lineRule="atLeast"/>
        <w:jc w:val="both"/>
        <w:rPr>
          <w:rFonts w:eastAsia="Times New Roman"/>
          <w:spacing w:val="2"/>
          <w:kern w:val="0"/>
          <w:lang w:eastAsia="es-CO"/>
          <w14:ligatures w14:val="none"/>
        </w:rPr>
      </w:pPr>
    </w:p>
    <w:p w14:paraId="302AE467" w14:textId="13794B7D" w:rsidR="00F62891" w:rsidRPr="00F62891" w:rsidRDefault="00F62891" w:rsidP="00F62891">
      <w:pPr>
        <w:spacing w:after="0" w:line="480" w:lineRule="atLeast"/>
        <w:jc w:val="both"/>
        <w:rPr>
          <w:rFonts w:eastAsia="Times New Roman"/>
          <w:spacing w:val="2"/>
          <w:kern w:val="0"/>
          <w:lang w:eastAsia="es-CO"/>
          <w14:ligatures w14:val="none"/>
        </w:rPr>
      </w:pPr>
      <w:r w:rsidRPr="00F62891">
        <w:rPr>
          <w:rFonts w:eastAsia="Times New Roman"/>
          <w:spacing w:val="2"/>
          <w:kern w:val="0"/>
          <w:lang w:eastAsia="es-CO"/>
          <w14:ligatures w14:val="none"/>
        </w:rPr>
        <w:t>En el artículo </w:t>
      </w:r>
      <w:hyperlink r:id="rId10" w:anchor="904" w:history="1">
        <w:r w:rsidRPr="00F62891">
          <w:rPr>
            <w:rFonts w:eastAsia="Times New Roman"/>
            <w:color w:val="0000FF"/>
            <w:spacing w:val="2"/>
            <w:kern w:val="0"/>
            <w:u w:val="single"/>
            <w:lang w:eastAsia="es-CO"/>
            <w14:ligatures w14:val="none"/>
          </w:rPr>
          <w:t>904</w:t>
        </w:r>
      </w:hyperlink>
      <w:r w:rsidRPr="00F62891">
        <w:rPr>
          <w:rFonts w:eastAsia="Times New Roman"/>
          <w:spacing w:val="2"/>
          <w:kern w:val="0"/>
          <w:lang w:eastAsia="es-CO"/>
          <w14:ligatures w14:val="none"/>
        </w:rPr>
        <w:t> del Estatuto Tributario se consagra el hecho generador y base gravable de este impuesto unificado y en los artículos </w:t>
      </w:r>
      <w:hyperlink r:id="rId11" w:anchor="905" w:history="1">
        <w:r w:rsidRPr="00F62891">
          <w:rPr>
            <w:rFonts w:eastAsia="Times New Roman"/>
            <w:color w:val="0000FF"/>
            <w:spacing w:val="2"/>
            <w:kern w:val="0"/>
            <w:u w:val="single"/>
            <w:lang w:eastAsia="es-CO"/>
            <w14:ligatures w14:val="none"/>
          </w:rPr>
          <w:t>905</w:t>
        </w:r>
      </w:hyperlink>
      <w:r w:rsidRPr="00F62891">
        <w:rPr>
          <w:rFonts w:eastAsia="Times New Roman"/>
          <w:spacing w:val="2"/>
          <w:kern w:val="0"/>
          <w:lang w:eastAsia="es-CO"/>
          <w14:ligatures w14:val="none"/>
        </w:rPr>
        <w:t> y </w:t>
      </w:r>
      <w:hyperlink r:id="rId12" w:anchor="906" w:history="1">
        <w:r w:rsidRPr="00F62891">
          <w:rPr>
            <w:rFonts w:eastAsia="Times New Roman"/>
            <w:color w:val="0000FF"/>
            <w:spacing w:val="2"/>
            <w:kern w:val="0"/>
            <w:u w:val="single"/>
            <w:lang w:eastAsia="es-CO"/>
            <w14:ligatures w14:val="none"/>
          </w:rPr>
          <w:t>906</w:t>
        </w:r>
      </w:hyperlink>
      <w:r w:rsidRPr="00F62891">
        <w:rPr>
          <w:rFonts w:eastAsia="Times New Roman"/>
          <w:spacing w:val="2"/>
          <w:kern w:val="0"/>
          <w:lang w:eastAsia="es-CO"/>
          <w14:ligatures w14:val="none"/>
        </w:rPr>
        <w:t> se señalan los sujetos que pueden optar (sujetos pasivos) y los que no por este régimen.</w:t>
      </w:r>
    </w:p>
    <w:p w14:paraId="15782C4E" w14:textId="77777777" w:rsidR="00F62891" w:rsidRPr="00F62891" w:rsidRDefault="00F62891" w:rsidP="00F62891">
      <w:pPr>
        <w:spacing w:after="0" w:line="480" w:lineRule="atLeast"/>
        <w:jc w:val="both"/>
        <w:rPr>
          <w:rFonts w:eastAsia="Times New Roman"/>
          <w:spacing w:val="2"/>
          <w:kern w:val="0"/>
          <w:lang w:eastAsia="es-CO"/>
          <w14:ligatures w14:val="none"/>
        </w:rPr>
      </w:pPr>
    </w:p>
    <w:p w14:paraId="788917EF" w14:textId="69F9211C" w:rsidR="00F62891" w:rsidRPr="00F62891" w:rsidRDefault="00F62891" w:rsidP="00F62891">
      <w:pPr>
        <w:spacing w:after="0" w:line="480" w:lineRule="atLeast"/>
        <w:jc w:val="both"/>
        <w:rPr>
          <w:rFonts w:eastAsia="Times New Roman"/>
          <w:spacing w:val="2"/>
          <w:kern w:val="0"/>
          <w:lang w:eastAsia="es-CO"/>
          <w14:ligatures w14:val="none"/>
        </w:rPr>
      </w:pPr>
      <w:r w:rsidRPr="00F62891">
        <w:rPr>
          <w:rFonts w:eastAsia="Times New Roman"/>
          <w:spacing w:val="2"/>
          <w:kern w:val="0"/>
          <w:lang w:eastAsia="es-CO"/>
          <w14:ligatures w14:val="none"/>
        </w:rPr>
        <w:t>En efecto, en el artículo </w:t>
      </w:r>
      <w:hyperlink r:id="rId13" w:anchor="905" w:history="1">
        <w:r w:rsidRPr="00F62891">
          <w:rPr>
            <w:rFonts w:eastAsia="Times New Roman"/>
            <w:color w:val="0000FF"/>
            <w:spacing w:val="2"/>
            <w:kern w:val="0"/>
            <w:u w:val="single"/>
            <w:lang w:eastAsia="es-CO"/>
            <w14:ligatures w14:val="none"/>
          </w:rPr>
          <w:t>905</w:t>
        </w:r>
      </w:hyperlink>
      <w:r w:rsidRPr="00F62891">
        <w:rPr>
          <w:rFonts w:eastAsia="Times New Roman"/>
          <w:spacing w:val="2"/>
          <w:kern w:val="0"/>
          <w:lang w:eastAsia="es-CO"/>
          <w14:ligatures w14:val="none"/>
        </w:rPr>
        <w:t> </w:t>
      </w:r>
      <w:proofErr w:type="spellStart"/>
      <w:r w:rsidRPr="00F62891">
        <w:rPr>
          <w:rFonts w:eastAsia="Times New Roman"/>
          <w:i/>
          <w:iCs/>
          <w:spacing w:val="2"/>
          <w:kern w:val="0"/>
          <w:lang w:eastAsia="es-CO"/>
          <w14:ligatures w14:val="none"/>
        </w:rPr>
        <w:t>ibídem</w:t>
      </w:r>
      <w:proofErr w:type="spellEnd"/>
      <w:r w:rsidRPr="00F62891">
        <w:rPr>
          <w:rFonts w:eastAsia="Times New Roman"/>
          <w:spacing w:val="2"/>
          <w:kern w:val="0"/>
          <w:lang w:eastAsia="es-CO"/>
          <w14:ligatures w14:val="none"/>
        </w:rPr>
        <w:t> se precisa que podrán optar por este régimen las personas naturales o jurídicas que cumplan la totalidad de las condiciones señaladas en dicho artículo, por lo que el contribuyente deberá determinar si efectivamente cumple los requisitos o no, para optar o no por este régimen.</w:t>
      </w:r>
    </w:p>
    <w:p w14:paraId="7B84A9BA" w14:textId="77777777" w:rsidR="00F62891" w:rsidRPr="00F62891" w:rsidRDefault="00F62891" w:rsidP="00F62891">
      <w:pPr>
        <w:spacing w:after="0" w:line="480" w:lineRule="atLeast"/>
        <w:jc w:val="both"/>
        <w:rPr>
          <w:rFonts w:eastAsia="Times New Roman"/>
          <w:spacing w:val="2"/>
          <w:kern w:val="0"/>
          <w:lang w:eastAsia="es-CO"/>
          <w14:ligatures w14:val="none"/>
        </w:rPr>
      </w:pPr>
    </w:p>
    <w:p w14:paraId="3E6827D5" w14:textId="3E486CDA" w:rsidR="00F62891" w:rsidRPr="00F62891" w:rsidRDefault="00F62891" w:rsidP="00F62891">
      <w:pPr>
        <w:spacing w:after="0" w:line="480" w:lineRule="atLeast"/>
        <w:jc w:val="both"/>
        <w:rPr>
          <w:rFonts w:eastAsia="Times New Roman"/>
          <w:spacing w:val="2"/>
          <w:kern w:val="0"/>
          <w:highlight w:val="cyan"/>
          <w:lang w:eastAsia="es-CO"/>
          <w14:ligatures w14:val="none"/>
        </w:rPr>
      </w:pPr>
      <w:r w:rsidRPr="00F62891">
        <w:rPr>
          <w:rFonts w:eastAsia="Times New Roman"/>
          <w:spacing w:val="2"/>
          <w:kern w:val="0"/>
          <w:highlight w:val="cyan"/>
          <w:lang w:eastAsia="es-CO"/>
          <w14:ligatures w14:val="none"/>
        </w:rPr>
        <w:t>Por su parte, el artículo </w:t>
      </w:r>
      <w:hyperlink r:id="rId14" w:anchor="906" w:history="1">
        <w:r w:rsidRPr="00F62891">
          <w:rPr>
            <w:rFonts w:eastAsia="Times New Roman"/>
            <w:color w:val="0000FF"/>
            <w:spacing w:val="2"/>
            <w:kern w:val="0"/>
            <w:highlight w:val="cyan"/>
            <w:u w:val="single"/>
            <w:lang w:eastAsia="es-CO"/>
            <w14:ligatures w14:val="none"/>
          </w:rPr>
          <w:t>906</w:t>
        </w:r>
      </w:hyperlink>
      <w:r w:rsidRPr="00F62891">
        <w:rPr>
          <w:rFonts w:eastAsia="Times New Roman"/>
          <w:spacing w:val="2"/>
          <w:kern w:val="0"/>
          <w:highlight w:val="cyan"/>
          <w:lang w:eastAsia="es-CO"/>
          <w14:ligatures w14:val="none"/>
        </w:rPr>
        <w:t> </w:t>
      </w:r>
      <w:proofErr w:type="spellStart"/>
      <w:r w:rsidRPr="00F62891">
        <w:rPr>
          <w:rFonts w:eastAsia="Times New Roman"/>
          <w:i/>
          <w:iCs/>
          <w:spacing w:val="2"/>
          <w:kern w:val="0"/>
          <w:highlight w:val="cyan"/>
          <w:lang w:eastAsia="es-CO"/>
          <w14:ligatures w14:val="none"/>
        </w:rPr>
        <w:t>ibídem</w:t>
      </w:r>
      <w:proofErr w:type="spellEnd"/>
      <w:r w:rsidRPr="00F62891">
        <w:rPr>
          <w:rFonts w:eastAsia="Times New Roman"/>
          <w:spacing w:val="2"/>
          <w:kern w:val="0"/>
          <w:highlight w:val="cyan"/>
          <w:lang w:eastAsia="es-CO"/>
          <w14:ligatures w14:val="none"/>
        </w:rPr>
        <w:t> señala qué sujetos no pueden optar por este régimen, así:</w:t>
      </w:r>
    </w:p>
    <w:p w14:paraId="0EC01E06" w14:textId="77777777" w:rsidR="00F62891" w:rsidRPr="00F62891" w:rsidRDefault="00F62891" w:rsidP="00F62891">
      <w:pPr>
        <w:spacing w:after="0" w:line="480" w:lineRule="atLeast"/>
        <w:jc w:val="both"/>
        <w:rPr>
          <w:rFonts w:eastAsia="Times New Roman"/>
          <w:i/>
          <w:iCs/>
          <w:spacing w:val="2"/>
          <w:kern w:val="0"/>
          <w:highlight w:val="cyan"/>
          <w:lang w:eastAsia="es-CO"/>
          <w14:ligatures w14:val="none"/>
        </w:rPr>
      </w:pPr>
    </w:p>
    <w:p w14:paraId="3CCCE188" w14:textId="2B70502A" w:rsidR="00F62891" w:rsidRPr="00F62891" w:rsidRDefault="00F62891" w:rsidP="00F62891">
      <w:pPr>
        <w:spacing w:after="0" w:line="480" w:lineRule="atLeast"/>
        <w:jc w:val="both"/>
        <w:rPr>
          <w:rFonts w:eastAsia="Times New Roman"/>
          <w:spacing w:val="2"/>
          <w:kern w:val="0"/>
          <w:highlight w:val="cyan"/>
          <w:lang w:eastAsia="es-CO"/>
          <w14:ligatures w14:val="none"/>
        </w:rPr>
      </w:pPr>
      <w:r w:rsidRPr="00F62891">
        <w:rPr>
          <w:rFonts w:eastAsia="Times New Roman"/>
          <w:i/>
          <w:iCs/>
          <w:spacing w:val="2"/>
          <w:kern w:val="0"/>
          <w:highlight w:val="cyan"/>
          <w:lang w:eastAsia="es-CO"/>
          <w14:ligatures w14:val="none"/>
        </w:rPr>
        <w:t>“</w:t>
      </w:r>
      <w:r w:rsidRPr="00F62891">
        <w:rPr>
          <w:rFonts w:eastAsia="Times New Roman"/>
          <w:b/>
          <w:bCs/>
          <w:i/>
          <w:iCs/>
          <w:spacing w:val="2"/>
          <w:kern w:val="0"/>
          <w:highlight w:val="cyan"/>
          <w:lang w:eastAsia="es-CO"/>
          <w14:ligatures w14:val="none"/>
        </w:rPr>
        <w:t>Artículo </w:t>
      </w:r>
      <w:hyperlink r:id="rId15" w:anchor="906" w:history="1">
        <w:r w:rsidRPr="00F62891">
          <w:rPr>
            <w:rFonts w:eastAsia="Times New Roman"/>
            <w:i/>
            <w:iCs/>
            <w:color w:val="0000FF"/>
            <w:spacing w:val="2"/>
            <w:kern w:val="0"/>
            <w:highlight w:val="cyan"/>
            <w:u w:val="single"/>
            <w:lang w:eastAsia="es-CO"/>
            <w14:ligatures w14:val="none"/>
          </w:rPr>
          <w:t>906</w:t>
        </w:r>
      </w:hyperlink>
      <w:r w:rsidRPr="00F62891">
        <w:rPr>
          <w:rFonts w:eastAsia="Times New Roman"/>
          <w:b/>
          <w:bCs/>
          <w:i/>
          <w:iCs/>
          <w:spacing w:val="2"/>
          <w:kern w:val="0"/>
          <w:highlight w:val="cyan"/>
          <w:lang w:eastAsia="es-CO"/>
          <w14:ligatures w14:val="none"/>
        </w:rPr>
        <w:t>. Sujetos que no pueden optar por el impuesto unificado bajo el régimen simple de tributación - Simple. </w:t>
      </w:r>
      <w:r w:rsidRPr="00F62891">
        <w:rPr>
          <w:rFonts w:eastAsia="Times New Roman"/>
          <w:i/>
          <w:iCs/>
          <w:spacing w:val="2"/>
          <w:kern w:val="0"/>
          <w:highlight w:val="cyan"/>
          <w:lang w:eastAsia="es-CO"/>
          <w14:ligatures w14:val="none"/>
        </w:rPr>
        <w:t>No podrán optar por el impuesto unificado bajo el régimen simple de tributación - Simple:</w:t>
      </w:r>
    </w:p>
    <w:p w14:paraId="1AF4FF5E" w14:textId="77777777" w:rsidR="00F62891" w:rsidRPr="00F62891" w:rsidRDefault="00F62891" w:rsidP="00F62891">
      <w:pPr>
        <w:spacing w:after="0" w:line="480" w:lineRule="atLeast"/>
        <w:jc w:val="both"/>
        <w:rPr>
          <w:rFonts w:eastAsia="Times New Roman"/>
          <w:spacing w:val="2"/>
          <w:kern w:val="0"/>
          <w:lang w:eastAsia="es-CO"/>
          <w14:ligatures w14:val="none"/>
        </w:rPr>
      </w:pPr>
      <w:r w:rsidRPr="00F62891">
        <w:rPr>
          <w:rFonts w:eastAsia="Times New Roman"/>
          <w:i/>
          <w:iCs/>
          <w:spacing w:val="2"/>
          <w:kern w:val="0"/>
          <w:highlight w:val="cyan"/>
          <w:lang w:eastAsia="es-CO"/>
          <w14:ligatures w14:val="none"/>
        </w:rPr>
        <w:t>(…)</w:t>
      </w:r>
    </w:p>
    <w:p w14:paraId="43F56E46" w14:textId="77777777" w:rsidR="00F62891" w:rsidRPr="00F62891" w:rsidRDefault="00F62891" w:rsidP="00F62891">
      <w:pPr>
        <w:spacing w:after="0" w:line="480" w:lineRule="atLeast"/>
        <w:jc w:val="both"/>
        <w:rPr>
          <w:rFonts w:eastAsia="Times New Roman"/>
          <w:spacing w:val="2"/>
          <w:kern w:val="0"/>
          <w:sz w:val="32"/>
          <w:szCs w:val="32"/>
          <w:lang w:eastAsia="es-CO"/>
          <w14:ligatures w14:val="none"/>
        </w:rPr>
      </w:pPr>
      <w:r w:rsidRPr="00F62891">
        <w:rPr>
          <w:rFonts w:eastAsia="Times New Roman"/>
          <w:i/>
          <w:iCs/>
          <w:spacing w:val="2"/>
          <w:kern w:val="0"/>
          <w:sz w:val="32"/>
          <w:szCs w:val="32"/>
          <w:highlight w:val="yellow"/>
          <w:lang w:eastAsia="es-CO"/>
          <w14:ligatures w14:val="none"/>
        </w:rPr>
        <w:lastRenderedPageBreak/>
        <w:t>6. Las </w:t>
      </w:r>
      <w:r w:rsidRPr="00F62891">
        <w:rPr>
          <w:rFonts w:eastAsia="Times New Roman"/>
          <w:b/>
          <w:bCs/>
          <w:i/>
          <w:iCs/>
          <w:spacing w:val="2"/>
          <w:kern w:val="0"/>
          <w:sz w:val="32"/>
          <w:szCs w:val="32"/>
          <w:highlight w:val="yellow"/>
          <w:lang w:eastAsia="es-CO"/>
          <w14:ligatures w14:val="none"/>
        </w:rPr>
        <w:t>sociedades que sean accionistas, suscriptores, partícipes, fideicomitentes o beneficiarios de otras sociedades o entidades legales</w:t>
      </w:r>
      <w:r w:rsidRPr="00F62891">
        <w:rPr>
          <w:rFonts w:eastAsia="Times New Roman"/>
          <w:i/>
          <w:iCs/>
          <w:spacing w:val="2"/>
          <w:kern w:val="0"/>
          <w:sz w:val="32"/>
          <w:szCs w:val="32"/>
          <w:highlight w:val="yellow"/>
          <w:lang w:eastAsia="es-CO"/>
          <w14:ligatures w14:val="none"/>
        </w:rPr>
        <w:t>, en Colombia o el exterior.</w:t>
      </w:r>
      <w:r w:rsidRPr="00F62891">
        <w:rPr>
          <w:rFonts w:eastAsia="Times New Roman"/>
          <w:spacing w:val="2"/>
          <w:kern w:val="0"/>
          <w:sz w:val="32"/>
          <w:szCs w:val="32"/>
          <w:highlight w:val="yellow"/>
          <w:lang w:eastAsia="es-CO"/>
          <w14:ligatures w14:val="none"/>
        </w:rPr>
        <w:t> (...)”. (Negrilla fuera de texto).</w:t>
      </w:r>
    </w:p>
    <w:p w14:paraId="69990486" w14:textId="77777777" w:rsidR="00F62891" w:rsidRDefault="00F62891" w:rsidP="00F62891">
      <w:pPr>
        <w:spacing w:after="0" w:line="480" w:lineRule="atLeast"/>
        <w:jc w:val="both"/>
        <w:rPr>
          <w:rFonts w:eastAsia="Times New Roman"/>
          <w:spacing w:val="2"/>
          <w:kern w:val="0"/>
          <w:lang w:eastAsia="es-CO"/>
          <w14:ligatures w14:val="none"/>
        </w:rPr>
      </w:pPr>
    </w:p>
    <w:p w14:paraId="399444F4" w14:textId="6081AB64" w:rsidR="00F62891" w:rsidRPr="00F62891" w:rsidRDefault="00F62891" w:rsidP="00F62891">
      <w:pPr>
        <w:spacing w:after="0" w:line="480" w:lineRule="atLeast"/>
        <w:jc w:val="both"/>
        <w:rPr>
          <w:rFonts w:eastAsia="Times New Roman"/>
          <w:spacing w:val="2"/>
          <w:kern w:val="0"/>
          <w:lang w:eastAsia="es-CO"/>
          <w14:ligatures w14:val="none"/>
        </w:rPr>
      </w:pPr>
      <w:r w:rsidRPr="00F62891">
        <w:rPr>
          <w:rFonts w:eastAsia="Times New Roman"/>
          <w:spacing w:val="2"/>
          <w:kern w:val="0"/>
          <w:lang w:eastAsia="es-CO"/>
          <w14:ligatures w14:val="none"/>
        </w:rPr>
        <w:t>Aunado a lo anterior, en el artículo </w:t>
      </w:r>
      <w:hyperlink r:id="rId16" w:anchor="1.5.8.4.1" w:history="1">
        <w:r w:rsidRPr="00F62891">
          <w:rPr>
            <w:rFonts w:eastAsia="Times New Roman"/>
            <w:color w:val="0000FF"/>
            <w:spacing w:val="2"/>
            <w:kern w:val="0"/>
            <w:u w:val="single"/>
            <w:lang w:eastAsia="es-CO"/>
            <w14:ligatures w14:val="none"/>
          </w:rPr>
          <w:t>1.5.8.4.1</w:t>
        </w:r>
      </w:hyperlink>
      <w:r w:rsidRPr="00F62891">
        <w:rPr>
          <w:rFonts w:eastAsia="Times New Roman"/>
          <w:spacing w:val="2"/>
          <w:kern w:val="0"/>
          <w:lang w:eastAsia="es-CO"/>
          <w14:ligatures w14:val="none"/>
        </w:rPr>
        <w:t>. del Decreto Único Reglamentario 1625 de 2016, se precisan las condiciones y los requisitos no subsanables para pertenecer al Régimen Simple de Tributación:</w:t>
      </w:r>
    </w:p>
    <w:p w14:paraId="07F18233" w14:textId="77777777" w:rsidR="00F62891" w:rsidRDefault="00F62891" w:rsidP="00F62891">
      <w:pPr>
        <w:spacing w:after="0" w:line="480" w:lineRule="atLeast"/>
        <w:jc w:val="both"/>
        <w:rPr>
          <w:rFonts w:eastAsia="Times New Roman"/>
          <w:b/>
          <w:bCs/>
          <w:i/>
          <w:iCs/>
          <w:spacing w:val="2"/>
          <w:kern w:val="0"/>
          <w:lang w:eastAsia="es-CO"/>
          <w14:ligatures w14:val="none"/>
        </w:rPr>
      </w:pPr>
    </w:p>
    <w:p w14:paraId="08261019" w14:textId="3410EA19" w:rsidR="00F62891" w:rsidRPr="00F62891" w:rsidRDefault="00F62891" w:rsidP="00F62891">
      <w:pPr>
        <w:spacing w:after="0" w:line="480" w:lineRule="atLeast"/>
        <w:jc w:val="both"/>
        <w:rPr>
          <w:rFonts w:eastAsia="Times New Roman"/>
          <w:spacing w:val="2"/>
          <w:kern w:val="0"/>
          <w:lang w:eastAsia="es-CO"/>
          <w14:ligatures w14:val="none"/>
        </w:rPr>
      </w:pPr>
      <w:r w:rsidRPr="00F62891">
        <w:rPr>
          <w:rFonts w:eastAsia="Times New Roman"/>
          <w:b/>
          <w:bCs/>
          <w:i/>
          <w:iCs/>
          <w:spacing w:val="2"/>
          <w:kern w:val="0"/>
          <w:sz w:val="32"/>
          <w:szCs w:val="32"/>
          <w:highlight w:val="cyan"/>
          <w:lang w:eastAsia="es-CO"/>
          <w14:ligatures w14:val="none"/>
        </w:rPr>
        <w:t>“Artículo </w:t>
      </w:r>
      <w:hyperlink r:id="rId17" w:anchor="1.5.8.4.1" w:history="1">
        <w:r w:rsidRPr="00F62891">
          <w:rPr>
            <w:rFonts w:eastAsia="Times New Roman"/>
            <w:i/>
            <w:iCs/>
            <w:color w:val="0000FF"/>
            <w:spacing w:val="2"/>
            <w:kern w:val="0"/>
            <w:sz w:val="32"/>
            <w:szCs w:val="32"/>
            <w:highlight w:val="cyan"/>
            <w:u w:val="single"/>
            <w:lang w:eastAsia="es-CO"/>
            <w14:ligatures w14:val="none"/>
          </w:rPr>
          <w:t>1.5.8.4.1</w:t>
        </w:r>
      </w:hyperlink>
      <w:r w:rsidRPr="00F62891">
        <w:rPr>
          <w:rFonts w:eastAsia="Times New Roman"/>
          <w:b/>
          <w:bCs/>
          <w:i/>
          <w:iCs/>
          <w:spacing w:val="2"/>
          <w:kern w:val="0"/>
          <w:sz w:val="32"/>
          <w:szCs w:val="32"/>
          <w:highlight w:val="cyan"/>
          <w:lang w:eastAsia="es-CO"/>
          <w14:ligatures w14:val="none"/>
        </w:rPr>
        <w:t xml:space="preserve">. Condiciones y requisitos </w:t>
      </w:r>
      <w:r w:rsidRPr="00F62891">
        <w:rPr>
          <w:rFonts w:eastAsia="Times New Roman"/>
          <w:b/>
          <w:bCs/>
          <w:i/>
          <w:iCs/>
          <w:spacing w:val="2"/>
          <w:kern w:val="0"/>
          <w:sz w:val="32"/>
          <w:szCs w:val="32"/>
          <w:highlight w:val="cyan"/>
          <w:u w:val="single"/>
          <w:lang w:eastAsia="es-CO"/>
          <w14:ligatures w14:val="none"/>
        </w:rPr>
        <w:t>no subsanables</w:t>
      </w:r>
      <w:r w:rsidRPr="00F62891">
        <w:rPr>
          <w:rFonts w:eastAsia="Times New Roman"/>
          <w:b/>
          <w:bCs/>
          <w:i/>
          <w:iCs/>
          <w:spacing w:val="2"/>
          <w:kern w:val="0"/>
          <w:sz w:val="32"/>
          <w:szCs w:val="32"/>
          <w:highlight w:val="cyan"/>
          <w:lang w:eastAsia="es-CO"/>
          <w14:ligatures w14:val="none"/>
        </w:rPr>
        <w:t xml:space="preserve"> para pertenecer al SIMPLE</w:t>
      </w:r>
      <w:r w:rsidRPr="00F62891">
        <w:rPr>
          <w:rFonts w:eastAsia="Times New Roman"/>
          <w:b/>
          <w:bCs/>
          <w:i/>
          <w:iCs/>
          <w:spacing w:val="2"/>
          <w:kern w:val="0"/>
          <w:lang w:eastAsia="es-CO"/>
          <w14:ligatures w14:val="none"/>
        </w:rPr>
        <w:t>. </w:t>
      </w:r>
      <w:r w:rsidRPr="00F62891">
        <w:rPr>
          <w:rFonts w:eastAsia="Times New Roman"/>
          <w:i/>
          <w:iCs/>
          <w:spacing w:val="2"/>
          <w:kern w:val="0"/>
          <w:lang w:eastAsia="es-CO"/>
          <w14:ligatures w14:val="none"/>
        </w:rPr>
        <w:t>El incumplimiento de las siguientes condiciones y requisitos para pertenecer al SIMPLE desde el año gravable de la inscripción no son subsanables:</w:t>
      </w:r>
    </w:p>
    <w:p w14:paraId="37443F30" w14:textId="77777777" w:rsidR="00F62891" w:rsidRPr="00F62891" w:rsidRDefault="00F62891" w:rsidP="00F62891">
      <w:pPr>
        <w:spacing w:after="0" w:line="480" w:lineRule="atLeast"/>
        <w:jc w:val="both"/>
        <w:rPr>
          <w:rFonts w:eastAsia="Times New Roman"/>
          <w:spacing w:val="2"/>
          <w:kern w:val="0"/>
          <w:lang w:eastAsia="es-CO"/>
          <w14:ligatures w14:val="none"/>
        </w:rPr>
      </w:pPr>
      <w:r w:rsidRPr="00F62891">
        <w:rPr>
          <w:rFonts w:eastAsia="Times New Roman"/>
          <w:i/>
          <w:iCs/>
          <w:spacing w:val="2"/>
          <w:kern w:val="0"/>
          <w:lang w:eastAsia="es-CO"/>
          <w14:ligatures w14:val="none"/>
        </w:rPr>
        <w:t>1. Para personas naturales</w:t>
      </w:r>
    </w:p>
    <w:p w14:paraId="5038DF71" w14:textId="77777777" w:rsidR="00F62891" w:rsidRPr="00F62891" w:rsidRDefault="00F62891" w:rsidP="00F62891">
      <w:pPr>
        <w:spacing w:after="240" w:line="480" w:lineRule="atLeast"/>
        <w:jc w:val="both"/>
        <w:rPr>
          <w:rFonts w:eastAsia="Times New Roman"/>
          <w:spacing w:val="2"/>
          <w:kern w:val="0"/>
          <w:lang w:eastAsia="es-CO"/>
          <w14:ligatures w14:val="none"/>
        </w:rPr>
      </w:pPr>
      <w:r w:rsidRPr="00F62891">
        <w:rPr>
          <w:rFonts w:eastAsia="Times New Roman"/>
          <w:spacing w:val="2"/>
          <w:kern w:val="0"/>
          <w:lang w:eastAsia="es-CO"/>
          <w14:ligatures w14:val="none"/>
        </w:rPr>
        <w:t>(…)</w:t>
      </w:r>
    </w:p>
    <w:p w14:paraId="30E0C513" w14:textId="77777777" w:rsidR="00F62891" w:rsidRPr="00F62891" w:rsidRDefault="00F62891" w:rsidP="00F62891">
      <w:pPr>
        <w:spacing w:after="240" w:line="480" w:lineRule="atLeast"/>
        <w:jc w:val="both"/>
        <w:rPr>
          <w:rFonts w:eastAsia="Times New Roman"/>
          <w:spacing w:val="2"/>
          <w:kern w:val="0"/>
          <w:lang w:eastAsia="es-CO"/>
          <w14:ligatures w14:val="none"/>
        </w:rPr>
      </w:pPr>
      <w:r w:rsidRPr="00F62891">
        <w:rPr>
          <w:rFonts w:eastAsia="Times New Roman"/>
          <w:spacing w:val="2"/>
          <w:kern w:val="0"/>
          <w:lang w:eastAsia="es-CO"/>
          <w14:ligatures w14:val="none"/>
        </w:rPr>
        <w:t>2. Para personas jurídicas</w:t>
      </w:r>
    </w:p>
    <w:p w14:paraId="39F52745" w14:textId="77777777" w:rsidR="00F62891" w:rsidRPr="00F62891" w:rsidRDefault="00F62891" w:rsidP="00F62891">
      <w:pPr>
        <w:spacing w:after="240" w:line="480" w:lineRule="atLeast"/>
        <w:jc w:val="both"/>
        <w:rPr>
          <w:rFonts w:eastAsia="Times New Roman"/>
          <w:spacing w:val="2"/>
          <w:kern w:val="0"/>
          <w:lang w:eastAsia="es-CO"/>
          <w14:ligatures w14:val="none"/>
        </w:rPr>
      </w:pPr>
      <w:r w:rsidRPr="00F62891">
        <w:rPr>
          <w:rFonts w:eastAsia="Times New Roman"/>
          <w:spacing w:val="2"/>
          <w:kern w:val="0"/>
          <w:lang w:eastAsia="es-CO"/>
          <w14:ligatures w14:val="none"/>
        </w:rPr>
        <w:t>2.1. (…)</w:t>
      </w:r>
    </w:p>
    <w:p w14:paraId="0CF052D8" w14:textId="77777777" w:rsidR="00F62891" w:rsidRPr="00F62891" w:rsidRDefault="00F62891" w:rsidP="00F62891">
      <w:pPr>
        <w:spacing w:after="0" w:line="480" w:lineRule="atLeast"/>
        <w:jc w:val="both"/>
        <w:rPr>
          <w:rFonts w:eastAsia="Times New Roman"/>
          <w:spacing w:val="2"/>
          <w:kern w:val="0"/>
          <w:lang w:eastAsia="es-CO"/>
          <w14:ligatures w14:val="none"/>
        </w:rPr>
      </w:pPr>
      <w:r w:rsidRPr="00F62891">
        <w:rPr>
          <w:rFonts w:eastAsia="Times New Roman"/>
          <w:i/>
          <w:iCs/>
          <w:spacing w:val="2"/>
          <w:kern w:val="0"/>
          <w:highlight w:val="cyan"/>
          <w:lang w:eastAsia="es-CO"/>
          <w14:ligatures w14:val="none"/>
        </w:rPr>
        <w:t>2.5. </w:t>
      </w:r>
      <w:r w:rsidRPr="00F62891">
        <w:rPr>
          <w:rFonts w:eastAsia="Times New Roman"/>
          <w:b/>
          <w:bCs/>
          <w:i/>
          <w:iCs/>
          <w:spacing w:val="2"/>
          <w:kern w:val="0"/>
          <w:highlight w:val="cyan"/>
          <w:lang w:eastAsia="es-CO"/>
          <w14:ligatures w14:val="none"/>
        </w:rPr>
        <w:t>No ser accionistas, suscriptores, partícipes, fideicomitentes o beneficiarios de otras sociedades o entidades legales, en Colombia o el exterior según lo previsto en el numeral 6 del artículo </w:t>
      </w:r>
      <w:hyperlink r:id="rId18" w:anchor="906" w:history="1">
        <w:r w:rsidRPr="00F62891">
          <w:rPr>
            <w:rFonts w:eastAsia="Times New Roman"/>
            <w:i/>
            <w:iCs/>
            <w:color w:val="0000FF"/>
            <w:spacing w:val="2"/>
            <w:kern w:val="0"/>
            <w:highlight w:val="cyan"/>
            <w:u w:val="single"/>
            <w:lang w:eastAsia="es-CO"/>
            <w14:ligatures w14:val="none"/>
          </w:rPr>
          <w:t>906</w:t>
        </w:r>
      </w:hyperlink>
      <w:r w:rsidRPr="00F62891">
        <w:rPr>
          <w:rFonts w:eastAsia="Times New Roman"/>
          <w:b/>
          <w:bCs/>
          <w:i/>
          <w:iCs/>
          <w:spacing w:val="2"/>
          <w:kern w:val="0"/>
          <w:highlight w:val="cyan"/>
          <w:lang w:eastAsia="es-CO"/>
          <w14:ligatures w14:val="none"/>
        </w:rPr>
        <w:t> del Estatuto Tributario</w:t>
      </w:r>
      <w:r w:rsidRPr="00F62891">
        <w:rPr>
          <w:rFonts w:eastAsia="Times New Roman"/>
          <w:i/>
          <w:iCs/>
          <w:spacing w:val="2"/>
          <w:kern w:val="0"/>
          <w:highlight w:val="cyan"/>
          <w:lang w:eastAsia="es-CO"/>
          <w14:ligatures w14:val="none"/>
        </w:rPr>
        <w:t>”.</w:t>
      </w:r>
      <w:r w:rsidRPr="00F62891">
        <w:rPr>
          <w:rFonts w:eastAsia="Times New Roman"/>
          <w:spacing w:val="2"/>
          <w:kern w:val="0"/>
          <w:highlight w:val="cyan"/>
          <w:lang w:eastAsia="es-CO"/>
          <w14:ligatures w14:val="none"/>
        </w:rPr>
        <w:t> (Negrilla fuera de texto).</w:t>
      </w:r>
    </w:p>
    <w:p w14:paraId="7D36EC40" w14:textId="77777777" w:rsidR="00F62891" w:rsidRDefault="00F62891" w:rsidP="00F62891">
      <w:pPr>
        <w:spacing w:after="240" w:line="480" w:lineRule="atLeast"/>
        <w:jc w:val="both"/>
        <w:rPr>
          <w:rFonts w:eastAsia="Times New Roman"/>
          <w:spacing w:val="2"/>
          <w:kern w:val="0"/>
          <w:lang w:eastAsia="es-CO"/>
          <w14:ligatures w14:val="none"/>
        </w:rPr>
      </w:pPr>
    </w:p>
    <w:p w14:paraId="7AA6D499" w14:textId="571C8C15" w:rsidR="00F62891" w:rsidRPr="00F62891" w:rsidRDefault="00F62891" w:rsidP="00F62891">
      <w:pPr>
        <w:spacing w:after="240" w:line="480" w:lineRule="atLeast"/>
        <w:jc w:val="both"/>
        <w:rPr>
          <w:rFonts w:eastAsia="Times New Roman"/>
          <w:spacing w:val="2"/>
          <w:kern w:val="0"/>
          <w:sz w:val="32"/>
          <w:szCs w:val="32"/>
          <w:u w:val="single"/>
          <w:lang w:eastAsia="es-CO"/>
          <w14:ligatures w14:val="none"/>
        </w:rPr>
      </w:pPr>
      <w:r w:rsidRPr="00F62891">
        <w:rPr>
          <w:rFonts w:eastAsia="Times New Roman"/>
          <w:spacing w:val="2"/>
          <w:kern w:val="0"/>
          <w:sz w:val="32"/>
          <w:szCs w:val="32"/>
          <w:highlight w:val="yellow"/>
          <w:u w:val="single"/>
          <w:lang w:eastAsia="es-CO"/>
          <w14:ligatures w14:val="none"/>
        </w:rPr>
        <w:t xml:space="preserve">En este contexto, si la sociedad se encuentra en alguna de las situaciones antes relacionadas (es accionista, suscriptor, participe, fideicomitente o beneficiario de otra sociedad o </w:t>
      </w:r>
      <w:r w:rsidRPr="00F62891">
        <w:rPr>
          <w:rFonts w:eastAsia="Times New Roman"/>
          <w:spacing w:val="2"/>
          <w:kern w:val="0"/>
          <w:sz w:val="32"/>
          <w:szCs w:val="32"/>
          <w:highlight w:val="yellow"/>
          <w:u w:val="single"/>
          <w:lang w:eastAsia="es-CO"/>
          <w14:ligatures w14:val="none"/>
        </w:rPr>
        <w:lastRenderedPageBreak/>
        <w:t>entidad legal en Colombia o el exterior) no podrá acogerse el Régimen Simple de Tributación.</w:t>
      </w:r>
    </w:p>
    <w:p w14:paraId="6D36F142" w14:textId="77777777" w:rsidR="00F62891" w:rsidRPr="00F62891" w:rsidRDefault="00F62891" w:rsidP="00F62891">
      <w:pPr>
        <w:spacing w:after="0" w:line="480" w:lineRule="atLeast"/>
        <w:jc w:val="both"/>
        <w:rPr>
          <w:rFonts w:eastAsia="Times New Roman"/>
          <w:spacing w:val="2"/>
          <w:kern w:val="0"/>
          <w:lang w:eastAsia="es-CO"/>
          <w14:ligatures w14:val="none"/>
        </w:rPr>
      </w:pPr>
      <w:r w:rsidRPr="00F62891">
        <w:rPr>
          <w:rFonts w:eastAsia="Times New Roman"/>
          <w:spacing w:val="2"/>
          <w:kern w:val="0"/>
          <w:lang w:eastAsia="es-CO"/>
          <w14:ligatures w14:val="none"/>
        </w:rPr>
        <w:t>Ahora bien, en relación con las uniones temporales este Despacho mediante los Conceptos </w:t>
      </w:r>
      <w:hyperlink r:id="rId19" w:anchor="INICIO" w:history="1">
        <w:r w:rsidRPr="00F62891">
          <w:rPr>
            <w:rFonts w:eastAsia="Times New Roman"/>
            <w:color w:val="0000FF"/>
            <w:spacing w:val="2"/>
            <w:kern w:val="0"/>
            <w:u w:val="single"/>
            <w:lang w:eastAsia="es-CO"/>
            <w14:ligatures w14:val="none"/>
          </w:rPr>
          <w:t>074924</w:t>
        </w:r>
      </w:hyperlink>
      <w:r w:rsidRPr="00F62891">
        <w:rPr>
          <w:rFonts w:eastAsia="Times New Roman"/>
          <w:spacing w:val="2"/>
          <w:kern w:val="0"/>
          <w:lang w:eastAsia="es-CO"/>
          <w14:ligatures w14:val="none"/>
        </w:rPr>
        <w:t> del 3 de noviembre de 2004 y </w:t>
      </w:r>
      <w:hyperlink r:id="rId20" w:anchor="INICIO" w:history="1">
        <w:r w:rsidRPr="00F62891">
          <w:rPr>
            <w:rFonts w:eastAsia="Times New Roman"/>
            <w:color w:val="0000FF"/>
            <w:spacing w:val="2"/>
            <w:kern w:val="0"/>
            <w:u w:val="single"/>
            <w:lang w:eastAsia="es-CO"/>
            <w14:ligatures w14:val="none"/>
          </w:rPr>
          <w:t>069631</w:t>
        </w:r>
      </w:hyperlink>
      <w:r w:rsidRPr="00F62891">
        <w:rPr>
          <w:rFonts w:eastAsia="Times New Roman"/>
          <w:spacing w:val="2"/>
          <w:kern w:val="0"/>
          <w:lang w:eastAsia="es-CO"/>
          <w14:ligatures w14:val="none"/>
        </w:rPr>
        <w:t> del 27 de septiembre de 2005, ha considerado:</w:t>
      </w:r>
    </w:p>
    <w:p w14:paraId="3258F13D" w14:textId="77777777" w:rsidR="00F62891" w:rsidRDefault="00F62891" w:rsidP="00F62891">
      <w:pPr>
        <w:spacing w:after="0" w:line="480" w:lineRule="atLeast"/>
        <w:jc w:val="both"/>
        <w:rPr>
          <w:rFonts w:eastAsia="Times New Roman"/>
          <w:i/>
          <w:iCs/>
          <w:spacing w:val="2"/>
          <w:kern w:val="0"/>
          <w:lang w:eastAsia="es-CO"/>
          <w14:ligatures w14:val="none"/>
        </w:rPr>
      </w:pPr>
    </w:p>
    <w:p w14:paraId="6FD25E98" w14:textId="67CCAEC0" w:rsidR="00F62891" w:rsidRPr="00F62891" w:rsidRDefault="00F62891" w:rsidP="00F62891">
      <w:pPr>
        <w:spacing w:after="0" w:line="480" w:lineRule="atLeast"/>
        <w:jc w:val="both"/>
        <w:rPr>
          <w:rFonts w:eastAsia="Times New Roman"/>
          <w:spacing w:val="2"/>
          <w:kern w:val="0"/>
          <w:lang w:eastAsia="es-CO"/>
          <w14:ligatures w14:val="none"/>
        </w:rPr>
      </w:pPr>
      <w:r w:rsidRPr="00F62891">
        <w:rPr>
          <w:rFonts w:eastAsia="Times New Roman"/>
          <w:i/>
          <w:iCs/>
          <w:spacing w:val="2"/>
          <w:kern w:val="0"/>
          <w:lang w:eastAsia="es-CO"/>
          <w14:ligatures w14:val="none"/>
        </w:rPr>
        <w:t>“(..) constituyéndose como formas de asociación o de instrumentos de cooperación entre empresas de personas naturales o jurídicas para la presentación de una sola propuesta para la adjudicación, celebración y ejecución de un contrato, sin que sea necesario para el reconocimiento de esta colectividad, que se sujeten a las formalidades ordinarias prescritas en la legislación comercial”.</w:t>
      </w:r>
    </w:p>
    <w:p w14:paraId="356C5D17" w14:textId="77777777" w:rsidR="00F62891" w:rsidRDefault="00F62891" w:rsidP="00F62891">
      <w:pPr>
        <w:spacing w:after="240" w:line="480" w:lineRule="atLeast"/>
        <w:jc w:val="both"/>
        <w:rPr>
          <w:rFonts w:eastAsia="Times New Roman"/>
          <w:spacing w:val="2"/>
          <w:kern w:val="0"/>
          <w:lang w:eastAsia="es-CO"/>
          <w14:ligatures w14:val="none"/>
        </w:rPr>
      </w:pPr>
    </w:p>
    <w:p w14:paraId="7483E387" w14:textId="192B83CF" w:rsidR="00F62891" w:rsidRPr="00F62891" w:rsidRDefault="00F62891" w:rsidP="00F62891">
      <w:pPr>
        <w:spacing w:after="240" w:line="480" w:lineRule="atLeast"/>
        <w:jc w:val="both"/>
        <w:rPr>
          <w:rFonts w:eastAsia="Times New Roman"/>
          <w:spacing w:val="2"/>
          <w:kern w:val="0"/>
          <w:lang w:eastAsia="es-CO"/>
          <w14:ligatures w14:val="none"/>
        </w:rPr>
      </w:pPr>
      <w:r w:rsidRPr="00F62891">
        <w:rPr>
          <w:rFonts w:eastAsia="Times New Roman"/>
          <w:spacing w:val="2"/>
          <w:kern w:val="0"/>
          <w:lang w:eastAsia="es-CO"/>
          <w14:ligatures w14:val="none"/>
        </w:rPr>
        <w:t>En igual sentido, la Corte Suprema de Justicia en la Sentencia SL676-2021 del 10 de febrero de 2021, expuso:</w:t>
      </w:r>
    </w:p>
    <w:p w14:paraId="02BCAB0E" w14:textId="77777777" w:rsidR="00F62891" w:rsidRPr="00F62891" w:rsidRDefault="00F62891" w:rsidP="00F62891">
      <w:pPr>
        <w:spacing w:after="0" w:line="480" w:lineRule="atLeast"/>
        <w:jc w:val="both"/>
        <w:rPr>
          <w:rFonts w:eastAsia="Times New Roman"/>
          <w:spacing w:val="2"/>
          <w:kern w:val="0"/>
          <w:lang w:eastAsia="es-CO"/>
          <w14:ligatures w14:val="none"/>
        </w:rPr>
      </w:pPr>
      <w:r w:rsidRPr="00F62891">
        <w:rPr>
          <w:rFonts w:eastAsia="Times New Roman"/>
          <w:i/>
          <w:iCs/>
          <w:spacing w:val="2"/>
          <w:kern w:val="0"/>
          <w:lang w:eastAsia="es-CO"/>
          <w14:ligatures w14:val="none"/>
        </w:rPr>
        <w:t>“</w:t>
      </w:r>
      <w:r w:rsidRPr="00F62891">
        <w:rPr>
          <w:rFonts w:eastAsia="Times New Roman"/>
          <w:b/>
          <w:bCs/>
          <w:i/>
          <w:iCs/>
          <w:spacing w:val="2"/>
          <w:kern w:val="0"/>
          <w:lang w:eastAsia="es-CO"/>
          <w14:ligatures w14:val="none"/>
        </w:rPr>
        <w:t>Las uniones temporales, así como los consorcios, son alianzas estratégicas entre organizaciones de contratistas o empresariales </w:t>
      </w:r>
      <w:r w:rsidRPr="00F62891">
        <w:rPr>
          <w:rFonts w:eastAsia="Times New Roman"/>
          <w:i/>
          <w:iCs/>
          <w:spacing w:val="2"/>
          <w:kern w:val="0"/>
          <w:lang w:eastAsia="es-CO"/>
          <w14:ligatures w14:val="none"/>
        </w:rPr>
        <w:t>que buscan aumentar su competitividad empleando sus recursos y fuerzas técnicas, económicas y financieras para la realización de proyectos de contratación altamente especializados o intensivos en capital, y en el cual se preserva la autonomía jurídica de los sujetos asociados.</w:t>
      </w:r>
    </w:p>
    <w:p w14:paraId="2D00DF23" w14:textId="77777777" w:rsidR="00F62891" w:rsidRDefault="00F62891" w:rsidP="00F62891">
      <w:pPr>
        <w:spacing w:after="0" w:line="480" w:lineRule="atLeast"/>
        <w:jc w:val="both"/>
        <w:rPr>
          <w:rFonts w:eastAsia="Times New Roman"/>
          <w:i/>
          <w:iCs/>
          <w:spacing w:val="2"/>
          <w:kern w:val="0"/>
          <w:lang w:eastAsia="es-CO"/>
          <w14:ligatures w14:val="none"/>
        </w:rPr>
      </w:pPr>
    </w:p>
    <w:p w14:paraId="1AFAF90D" w14:textId="193BFA5F" w:rsidR="00F62891" w:rsidRPr="00F62891" w:rsidRDefault="00F62891" w:rsidP="00F62891">
      <w:pPr>
        <w:spacing w:after="0" w:line="480" w:lineRule="atLeast"/>
        <w:jc w:val="both"/>
        <w:rPr>
          <w:rFonts w:eastAsia="Times New Roman"/>
          <w:spacing w:val="2"/>
          <w:kern w:val="0"/>
          <w:lang w:eastAsia="es-CO"/>
          <w14:ligatures w14:val="none"/>
        </w:rPr>
      </w:pPr>
      <w:r w:rsidRPr="00F62891">
        <w:rPr>
          <w:rFonts w:eastAsia="Times New Roman"/>
          <w:i/>
          <w:iCs/>
          <w:spacing w:val="2"/>
          <w:kern w:val="0"/>
          <w:lang w:eastAsia="es-CO"/>
          <w14:ligatures w14:val="none"/>
        </w:rPr>
        <w:t>Esta figura jurídica se constituye, al tenor del artículo 7° de la Ley 80 de 1993, “cuando dos o más personas en forma conjunta presentan una misma propuesta para la adjudicación, celebración y ejecución de un contrato, respondiendo solidariamente por el cumplimiento total de la propuesta y del objeto contratado”.</w:t>
      </w:r>
    </w:p>
    <w:p w14:paraId="29312DB6" w14:textId="77777777" w:rsidR="00F62891" w:rsidRPr="00F62891" w:rsidRDefault="00F62891" w:rsidP="00F62891">
      <w:pPr>
        <w:spacing w:after="0" w:line="480" w:lineRule="atLeast"/>
        <w:jc w:val="both"/>
        <w:rPr>
          <w:rFonts w:eastAsia="Times New Roman"/>
          <w:spacing w:val="2"/>
          <w:kern w:val="0"/>
          <w:lang w:eastAsia="es-CO"/>
          <w14:ligatures w14:val="none"/>
        </w:rPr>
      </w:pPr>
      <w:r w:rsidRPr="00F62891">
        <w:rPr>
          <w:rFonts w:eastAsia="Times New Roman"/>
          <w:i/>
          <w:iCs/>
          <w:spacing w:val="2"/>
          <w:kern w:val="0"/>
          <w:lang w:eastAsia="es-CO"/>
          <w14:ligatures w14:val="none"/>
        </w:rPr>
        <w:lastRenderedPageBreak/>
        <w:t>(...) “La jurisprudencia ha señalado que </w:t>
      </w:r>
      <w:r w:rsidRPr="00F62891">
        <w:rPr>
          <w:rFonts w:eastAsia="Times New Roman"/>
          <w:b/>
          <w:bCs/>
          <w:i/>
          <w:iCs/>
          <w:spacing w:val="2"/>
          <w:kern w:val="0"/>
          <w:lang w:eastAsia="es-CO"/>
          <w14:ligatures w14:val="none"/>
        </w:rPr>
        <w:t>la conformación de un consorcio o unión temporal no configura una persona jurídica diferente a los de sus miembros individualmente considerados </w:t>
      </w:r>
      <w:r w:rsidRPr="00F62891">
        <w:rPr>
          <w:rFonts w:eastAsia="Times New Roman"/>
          <w:i/>
          <w:iCs/>
          <w:spacing w:val="2"/>
          <w:kern w:val="0"/>
          <w:lang w:eastAsia="es-CO"/>
          <w14:ligatures w14:val="none"/>
        </w:rPr>
        <w:t>y a partir de este argumento ha precisado que “no son sujetos procesales que puedan responder válidamente por obligaciones a su cargo, por lo que las responsabilidades que en la ejecución de la obra se susciten, son a cargo de las personas que las integran” (CSJ SL, 11 feb. 2009, rad. 24426)”.</w:t>
      </w:r>
      <w:r w:rsidRPr="00F62891">
        <w:rPr>
          <w:rFonts w:eastAsia="Times New Roman"/>
          <w:spacing w:val="2"/>
          <w:kern w:val="0"/>
          <w:lang w:eastAsia="es-CO"/>
          <w14:ligatures w14:val="none"/>
        </w:rPr>
        <w:t> (Negrilla fuera de texto).</w:t>
      </w:r>
    </w:p>
    <w:p w14:paraId="78668CFC" w14:textId="77777777" w:rsidR="00F62891" w:rsidRDefault="00F62891" w:rsidP="00F62891">
      <w:pPr>
        <w:spacing w:after="0" w:line="480" w:lineRule="atLeast"/>
        <w:jc w:val="both"/>
        <w:rPr>
          <w:rFonts w:eastAsia="Times New Roman"/>
          <w:spacing w:val="2"/>
          <w:kern w:val="0"/>
          <w:lang w:eastAsia="es-CO"/>
          <w14:ligatures w14:val="none"/>
        </w:rPr>
      </w:pPr>
    </w:p>
    <w:p w14:paraId="5EB35C42" w14:textId="157D0647" w:rsidR="00F62891" w:rsidRPr="00F62891" w:rsidRDefault="00F62891" w:rsidP="00F62891">
      <w:pPr>
        <w:spacing w:after="0" w:line="480" w:lineRule="atLeast"/>
        <w:jc w:val="both"/>
        <w:rPr>
          <w:rFonts w:eastAsia="Times New Roman"/>
          <w:spacing w:val="2"/>
          <w:kern w:val="0"/>
          <w:lang w:eastAsia="es-CO"/>
          <w14:ligatures w14:val="none"/>
        </w:rPr>
      </w:pPr>
      <w:r w:rsidRPr="00F62891">
        <w:rPr>
          <w:rFonts w:eastAsia="Times New Roman"/>
          <w:spacing w:val="2"/>
          <w:kern w:val="0"/>
          <w:lang w:eastAsia="es-CO"/>
          <w14:ligatures w14:val="none"/>
        </w:rPr>
        <w:t>Así las cosas, es claro que los consorcios y uniones temporales, los cuales corresponden a una modalidad especial de "contratos de colaboración empresarial" (de la cual se derivan derechos y obligaciones entre los partícipes y de estos frente a terceros), no constituyen una persona diferente de los miembros que lo conforman (ver, por ejemplo, el artículo </w:t>
      </w:r>
      <w:hyperlink r:id="rId21" w:anchor="18" w:history="1">
        <w:r w:rsidRPr="00F62891">
          <w:rPr>
            <w:rFonts w:eastAsia="Times New Roman"/>
            <w:color w:val="0000FF"/>
            <w:spacing w:val="2"/>
            <w:kern w:val="0"/>
            <w:u w:val="single"/>
            <w:lang w:eastAsia="es-CO"/>
            <w14:ligatures w14:val="none"/>
          </w:rPr>
          <w:t>18</w:t>
        </w:r>
      </w:hyperlink>
      <w:r w:rsidRPr="00F62891">
        <w:rPr>
          <w:rFonts w:eastAsia="Times New Roman"/>
          <w:spacing w:val="2"/>
          <w:kern w:val="0"/>
          <w:lang w:eastAsia="es-CO"/>
          <w14:ligatures w14:val="none"/>
        </w:rPr>
        <w:t> del Estatuto Tributario). Es así como en el artículo 7° de Ley 80 de 1993 se autoriza que dos o más personas, presenten en forma conjunta propuestas para la adjudicación de un contrato y atribuye a cada participe responsabilidad solidaria de todas y cada una de las obligaciones derivadas del contrato, pero conservando cada uno de los asociados o participes su autonomía jurídica y patrimonial.</w:t>
      </w:r>
    </w:p>
    <w:p w14:paraId="3486BBDD" w14:textId="77777777" w:rsidR="00F62891" w:rsidRDefault="00F62891" w:rsidP="00F62891">
      <w:pPr>
        <w:spacing w:after="240" w:line="480" w:lineRule="atLeast"/>
        <w:jc w:val="both"/>
        <w:rPr>
          <w:rFonts w:eastAsia="Times New Roman"/>
          <w:spacing w:val="2"/>
          <w:kern w:val="0"/>
          <w:lang w:eastAsia="es-CO"/>
          <w14:ligatures w14:val="none"/>
        </w:rPr>
      </w:pPr>
    </w:p>
    <w:p w14:paraId="21E73236" w14:textId="113B8C6C" w:rsidR="00F62891" w:rsidRPr="00F62891" w:rsidRDefault="00F62891" w:rsidP="00F62891">
      <w:pPr>
        <w:spacing w:after="240" w:line="480" w:lineRule="atLeast"/>
        <w:jc w:val="both"/>
        <w:rPr>
          <w:rFonts w:eastAsia="Times New Roman"/>
          <w:spacing w:val="2"/>
          <w:kern w:val="0"/>
          <w:lang w:eastAsia="es-CO"/>
          <w14:ligatures w14:val="none"/>
        </w:rPr>
      </w:pPr>
      <w:r w:rsidRPr="00F62891">
        <w:rPr>
          <w:rFonts w:eastAsia="Times New Roman"/>
          <w:spacing w:val="2"/>
          <w:kern w:val="0"/>
          <w:lang w:eastAsia="es-CO"/>
          <w14:ligatures w14:val="none"/>
        </w:rPr>
        <w:t>Por lo anterior, se concluye que participar en un consorcio o unión temporal no es una limitación para optar por el Régimen Simple de Tributación - Simple.</w:t>
      </w:r>
    </w:p>
    <w:p w14:paraId="3D7DFA1D" w14:textId="77777777" w:rsidR="00F62891" w:rsidRPr="00F62891" w:rsidRDefault="00F62891" w:rsidP="00F62891">
      <w:pPr>
        <w:spacing w:after="0" w:line="480" w:lineRule="atLeast"/>
        <w:jc w:val="both"/>
        <w:rPr>
          <w:rFonts w:eastAsia="Times New Roman"/>
          <w:spacing w:val="2"/>
          <w:kern w:val="0"/>
          <w:lang w:eastAsia="es-CO"/>
          <w14:ligatures w14:val="none"/>
        </w:rPr>
      </w:pPr>
      <w:r w:rsidRPr="00F62891">
        <w:rPr>
          <w:rFonts w:eastAsia="Times New Roman"/>
          <w:spacing w:val="2"/>
          <w:kern w:val="0"/>
          <w:lang w:eastAsia="es-CO"/>
          <w14:ligatures w14:val="none"/>
        </w:rPr>
        <w:t>En los anteriores términos se resuelve su solicitud y finalmente le manifestamos que la Dirección de Impuestos y Aduanas Nacionales-DIAN-, con el fin de facilitar a los contribuyentes, usuarios y público en general el acceso directo a sus pronunciamientos doctrinarios, ha publicado en su página de internet</w:t>
      </w:r>
      <w:hyperlink r:id="rId22" w:history="1">
        <w:r w:rsidRPr="00F62891">
          <w:rPr>
            <w:rFonts w:eastAsia="Times New Roman"/>
            <w:color w:val="0000FF"/>
            <w:spacing w:val="2"/>
            <w:kern w:val="0"/>
            <w:u w:val="single"/>
            <w:lang w:eastAsia="es-CO"/>
            <w14:ligatures w14:val="none"/>
          </w:rPr>
          <w:t> </w:t>
        </w:r>
      </w:hyperlink>
      <w:r w:rsidRPr="00F62891">
        <w:rPr>
          <w:rFonts w:eastAsia="Times New Roman"/>
          <w:spacing w:val="2"/>
          <w:kern w:val="0"/>
          <w:u w:val="single"/>
          <w:lang w:eastAsia="es-CO"/>
          <w14:ligatures w14:val="none"/>
        </w:rPr>
        <w:t>www.dian.gov.co,</w:t>
      </w:r>
      <w:r w:rsidRPr="00F62891">
        <w:rPr>
          <w:rFonts w:eastAsia="Times New Roman"/>
          <w:spacing w:val="2"/>
          <w:kern w:val="0"/>
          <w:lang w:eastAsia="es-CO"/>
          <w14:ligatures w14:val="none"/>
        </w:rPr>
        <w:t xml:space="preserve">la base de conceptos en materia tributaria, aduanera y </w:t>
      </w:r>
      <w:r w:rsidRPr="00F62891">
        <w:rPr>
          <w:rFonts w:eastAsia="Times New Roman"/>
          <w:spacing w:val="2"/>
          <w:kern w:val="0"/>
          <w:lang w:eastAsia="es-CO"/>
          <w14:ligatures w14:val="none"/>
        </w:rPr>
        <w:lastRenderedPageBreak/>
        <w:t xml:space="preserve">cambiaria expedidos desde el año 2001, la cual se puede ingresar por el icono de “Normatividad” -“Doctrina”, dando </w:t>
      </w:r>
      <w:proofErr w:type="spellStart"/>
      <w:r w:rsidRPr="00F62891">
        <w:rPr>
          <w:rFonts w:eastAsia="Times New Roman"/>
          <w:spacing w:val="2"/>
          <w:kern w:val="0"/>
          <w:lang w:eastAsia="es-CO"/>
          <w14:ligatures w14:val="none"/>
        </w:rPr>
        <w:t>click</w:t>
      </w:r>
      <w:proofErr w:type="spellEnd"/>
      <w:r w:rsidRPr="00F62891">
        <w:rPr>
          <w:rFonts w:eastAsia="Times New Roman"/>
          <w:spacing w:val="2"/>
          <w:kern w:val="0"/>
          <w:lang w:eastAsia="es-CO"/>
          <w14:ligatures w14:val="none"/>
        </w:rPr>
        <w:t xml:space="preserve"> en el link “Doctrina Dirección de Gestión Jurídica”.</w:t>
      </w:r>
    </w:p>
    <w:p w14:paraId="07C2EFEE" w14:textId="77777777" w:rsidR="00F62891" w:rsidRDefault="00F62891" w:rsidP="00F62891">
      <w:pPr>
        <w:spacing w:after="240" w:line="480" w:lineRule="atLeast"/>
        <w:jc w:val="both"/>
        <w:rPr>
          <w:rFonts w:eastAsia="Times New Roman"/>
          <w:spacing w:val="2"/>
          <w:kern w:val="0"/>
          <w:lang w:eastAsia="es-CO"/>
          <w14:ligatures w14:val="none"/>
        </w:rPr>
      </w:pPr>
    </w:p>
    <w:p w14:paraId="24F102BA" w14:textId="2FE1E2B4" w:rsidR="00F62891" w:rsidRPr="00F62891" w:rsidRDefault="00F62891" w:rsidP="00F62891">
      <w:pPr>
        <w:spacing w:after="240" w:line="480" w:lineRule="atLeast"/>
        <w:jc w:val="both"/>
        <w:rPr>
          <w:rFonts w:eastAsia="Times New Roman"/>
          <w:spacing w:val="2"/>
          <w:kern w:val="0"/>
          <w:lang w:eastAsia="es-CO"/>
          <w14:ligatures w14:val="none"/>
        </w:rPr>
      </w:pPr>
      <w:r w:rsidRPr="00F62891">
        <w:rPr>
          <w:rFonts w:eastAsia="Times New Roman"/>
          <w:spacing w:val="2"/>
          <w:kern w:val="0"/>
          <w:lang w:eastAsia="es-CO"/>
          <w14:ligatures w14:val="none"/>
        </w:rPr>
        <w:t>Atentamente,</w:t>
      </w:r>
    </w:p>
    <w:p w14:paraId="4D026B64" w14:textId="77777777" w:rsidR="00F62891" w:rsidRPr="00F62891" w:rsidRDefault="00F62891" w:rsidP="00F62891">
      <w:pPr>
        <w:spacing w:after="0" w:line="480" w:lineRule="atLeast"/>
        <w:jc w:val="both"/>
        <w:rPr>
          <w:rFonts w:eastAsia="Times New Roman"/>
          <w:spacing w:val="2"/>
          <w:kern w:val="0"/>
          <w:lang w:eastAsia="es-CO"/>
          <w14:ligatures w14:val="none"/>
        </w:rPr>
      </w:pPr>
      <w:r w:rsidRPr="00F62891">
        <w:rPr>
          <w:rFonts w:eastAsia="Times New Roman"/>
          <w:b/>
          <w:bCs/>
          <w:spacing w:val="2"/>
          <w:kern w:val="0"/>
          <w:lang w:eastAsia="es-CO"/>
          <w14:ligatures w14:val="none"/>
        </w:rPr>
        <w:t>NICOLÁS BERNAL ABELLA</w:t>
      </w:r>
    </w:p>
    <w:p w14:paraId="70DEC2A7" w14:textId="77777777" w:rsidR="00F62891" w:rsidRPr="00F62891" w:rsidRDefault="00F62891" w:rsidP="00F62891">
      <w:pPr>
        <w:spacing w:after="240" w:line="480" w:lineRule="atLeast"/>
        <w:jc w:val="both"/>
        <w:rPr>
          <w:rFonts w:eastAsia="Times New Roman"/>
          <w:spacing w:val="2"/>
          <w:kern w:val="0"/>
          <w:lang w:eastAsia="es-CO"/>
          <w14:ligatures w14:val="none"/>
        </w:rPr>
      </w:pPr>
      <w:r w:rsidRPr="00F62891">
        <w:rPr>
          <w:rFonts w:eastAsia="Times New Roman"/>
          <w:spacing w:val="2"/>
          <w:kern w:val="0"/>
          <w:lang w:eastAsia="es-CO"/>
          <w14:ligatures w14:val="none"/>
        </w:rPr>
        <w:t>Subdirector de Normativa y Doctrina (E)</w:t>
      </w:r>
    </w:p>
    <w:p w14:paraId="2CDE6D04" w14:textId="77777777" w:rsidR="00F62891" w:rsidRPr="00F62891" w:rsidRDefault="00F62891" w:rsidP="00F62891">
      <w:pPr>
        <w:spacing w:after="240" w:line="480" w:lineRule="atLeast"/>
        <w:jc w:val="both"/>
        <w:rPr>
          <w:rFonts w:eastAsia="Times New Roman"/>
          <w:spacing w:val="2"/>
          <w:kern w:val="0"/>
          <w:lang w:eastAsia="es-CO"/>
          <w14:ligatures w14:val="none"/>
        </w:rPr>
      </w:pPr>
      <w:r w:rsidRPr="00F62891">
        <w:rPr>
          <w:rFonts w:eastAsia="Times New Roman"/>
          <w:spacing w:val="2"/>
          <w:kern w:val="0"/>
          <w:lang w:eastAsia="es-CO"/>
          <w14:ligatures w14:val="none"/>
        </w:rPr>
        <w:t>Dirección de Gestión Jurídica</w:t>
      </w:r>
    </w:p>
    <w:p w14:paraId="7CEDB525" w14:textId="77777777" w:rsidR="00D2726C" w:rsidRPr="00F62891" w:rsidRDefault="00D2726C" w:rsidP="00F62891">
      <w:pPr>
        <w:jc w:val="both"/>
      </w:pPr>
    </w:p>
    <w:sectPr w:rsidR="00D2726C" w:rsidRPr="00F6289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891"/>
    <w:rsid w:val="00D2726C"/>
    <w:rsid w:val="00F6289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A38F0"/>
  <w15:chartTrackingRefBased/>
  <w15:docId w15:val="{BB184D07-1574-4037-A76D-DEEC29151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62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62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6289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6289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F62891"/>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F62891"/>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F62891"/>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F62891"/>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F62891"/>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6289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6289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62891"/>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62891"/>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F62891"/>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F62891"/>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F62891"/>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F62891"/>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F62891"/>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F628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6289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6289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62891"/>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F62891"/>
    <w:pPr>
      <w:spacing w:before="160"/>
      <w:jc w:val="center"/>
    </w:pPr>
    <w:rPr>
      <w:i/>
      <w:iCs/>
      <w:color w:val="404040" w:themeColor="text1" w:themeTint="BF"/>
    </w:rPr>
  </w:style>
  <w:style w:type="character" w:customStyle="1" w:styleId="CitaCar">
    <w:name w:val="Cita Car"/>
    <w:basedOn w:val="Fuentedeprrafopredeter"/>
    <w:link w:val="Cita"/>
    <w:uiPriority w:val="29"/>
    <w:rsid w:val="00F62891"/>
    <w:rPr>
      <w:i/>
      <w:iCs/>
      <w:color w:val="404040" w:themeColor="text1" w:themeTint="BF"/>
    </w:rPr>
  </w:style>
  <w:style w:type="paragraph" w:styleId="Prrafodelista">
    <w:name w:val="List Paragraph"/>
    <w:basedOn w:val="Normal"/>
    <w:uiPriority w:val="34"/>
    <w:qFormat/>
    <w:rsid w:val="00F62891"/>
    <w:pPr>
      <w:ind w:left="720"/>
      <w:contextualSpacing/>
    </w:pPr>
  </w:style>
  <w:style w:type="character" w:styleId="nfasisintenso">
    <w:name w:val="Intense Emphasis"/>
    <w:basedOn w:val="Fuentedeprrafopredeter"/>
    <w:uiPriority w:val="21"/>
    <w:qFormat/>
    <w:rsid w:val="00F62891"/>
    <w:rPr>
      <w:i/>
      <w:iCs/>
      <w:color w:val="0F4761" w:themeColor="accent1" w:themeShade="BF"/>
    </w:rPr>
  </w:style>
  <w:style w:type="paragraph" w:styleId="Citadestacada">
    <w:name w:val="Intense Quote"/>
    <w:basedOn w:val="Normal"/>
    <w:next w:val="Normal"/>
    <w:link w:val="CitadestacadaCar"/>
    <w:uiPriority w:val="30"/>
    <w:qFormat/>
    <w:rsid w:val="00F62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62891"/>
    <w:rPr>
      <w:i/>
      <w:iCs/>
      <w:color w:val="0F4761" w:themeColor="accent1" w:themeShade="BF"/>
    </w:rPr>
  </w:style>
  <w:style w:type="character" w:styleId="Referenciaintensa">
    <w:name w:val="Intense Reference"/>
    <w:basedOn w:val="Fuentedeprrafopredeter"/>
    <w:uiPriority w:val="32"/>
    <w:qFormat/>
    <w:rsid w:val="00F628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2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ograma.dian.gov.co/dian/compilacion/docs/ley_2010_2019.htm" TargetMode="External"/><Relationship Id="rId13" Type="http://schemas.openxmlformats.org/officeDocument/2006/relationships/hyperlink" Target="https://normograma.dian.gov.co/dian/compilacion/docs/estatuto_tributario.htm" TargetMode="External"/><Relationship Id="rId18" Type="http://schemas.openxmlformats.org/officeDocument/2006/relationships/hyperlink" Target="https://normograma.dian.gov.co/dian/compilacion/docs/estatuto_tributario.htm" TargetMode="External"/><Relationship Id="rId3" Type="http://schemas.openxmlformats.org/officeDocument/2006/relationships/webSettings" Target="webSettings.xml"/><Relationship Id="rId21" Type="http://schemas.openxmlformats.org/officeDocument/2006/relationships/hyperlink" Target="https://normograma.dian.gov.co/dian/compilacion/docs/estatuto_tributario.htm" TargetMode="External"/><Relationship Id="rId7" Type="http://schemas.openxmlformats.org/officeDocument/2006/relationships/hyperlink" Target="https://normograma.dian.gov.co/dian/compilacion/docs/decreto_1742_2020.htm" TargetMode="External"/><Relationship Id="rId12" Type="http://schemas.openxmlformats.org/officeDocument/2006/relationships/hyperlink" Target="https://normograma.dian.gov.co/dian/compilacion/docs/estatuto_tributario.htm" TargetMode="External"/><Relationship Id="rId17" Type="http://schemas.openxmlformats.org/officeDocument/2006/relationships/hyperlink" Target="https://normograma.dian.gov.co/dian/compilacion/docs/decreto_1625_2016.htm" TargetMode="External"/><Relationship Id="rId2" Type="http://schemas.openxmlformats.org/officeDocument/2006/relationships/settings" Target="settings.xml"/><Relationship Id="rId16" Type="http://schemas.openxmlformats.org/officeDocument/2006/relationships/hyperlink" Target="https://normograma.dian.gov.co/dian/compilacion/docs/decreto_1625_2016.htm" TargetMode="External"/><Relationship Id="rId20" Type="http://schemas.openxmlformats.org/officeDocument/2006/relationships/hyperlink" Target="https://normograma.dian.gov.co/dian/compilacion/docs/concepto_tributario_dian_0069631_2005.htm" TargetMode="External"/><Relationship Id="rId1" Type="http://schemas.openxmlformats.org/officeDocument/2006/relationships/styles" Target="styles.xml"/><Relationship Id="rId6" Type="http://schemas.openxmlformats.org/officeDocument/2006/relationships/hyperlink" Target="https://normograma.dian.gov.co/dian/compilacion/docs/decreto_1625_2016.htm" TargetMode="External"/><Relationship Id="rId11" Type="http://schemas.openxmlformats.org/officeDocument/2006/relationships/hyperlink" Target="https://normograma.dian.gov.co/dian/compilacion/docs/estatuto_tributario.htm" TargetMode="External"/><Relationship Id="rId24" Type="http://schemas.openxmlformats.org/officeDocument/2006/relationships/theme" Target="theme/theme1.xml"/><Relationship Id="rId5" Type="http://schemas.openxmlformats.org/officeDocument/2006/relationships/hyperlink" Target="https://normograma.dian.gov.co/dian/compilacion/docs/decreto_1091_2020.htm" TargetMode="External"/><Relationship Id="rId15" Type="http://schemas.openxmlformats.org/officeDocument/2006/relationships/hyperlink" Target="https://normograma.dian.gov.co/dian/compilacion/docs/estatuto_tributario.htm" TargetMode="External"/><Relationship Id="rId23" Type="http://schemas.openxmlformats.org/officeDocument/2006/relationships/fontTable" Target="fontTable.xml"/><Relationship Id="rId10" Type="http://schemas.openxmlformats.org/officeDocument/2006/relationships/hyperlink" Target="https://normograma.dian.gov.co/dian/compilacion/docs/estatuto_tributario.htm" TargetMode="External"/><Relationship Id="rId19" Type="http://schemas.openxmlformats.org/officeDocument/2006/relationships/hyperlink" Target="https://normograma.dian.gov.co/dian/compilacion/docs/concepto_tributario_dian_0074924_2004.htm" TargetMode="External"/><Relationship Id="rId4" Type="http://schemas.openxmlformats.org/officeDocument/2006/relationships/hyperlink" Target="https://normograma.dian.gov.co/dian/compilacion/docs/estatuto_tributario.htm" TargetMode="External"/><Relationship Id="rId9" Type="http://schemas.openxmlformats.org/officeDocument/2006/relationships/hyperlink" Target="https://normograma.dian.gov.co/dian/compilacion/docs/decreto_1091_2020.htm" TargetMode="External"/><Relationship Id="rId14" Type="http://schemas.openxmlformats.org/officeDocument/2006/relationships/hyperlink" Target="https://normograma.dian.gov.co/dian/compilacion/docs/estatuto_tributario.htm" TargetMode="External"/><Relationship Id="rId22" Type="http://schemas.openxmlformats.org/officeDocument/2006/relationships/hyperlink" Target="https://normograma.dian.gov.co/dian/compilacion/docs/oficio_dian_900205_2022.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1446</Words>
  <Characters>7958</Characters>
  <Application>Microsoft Office Word</Application>
  <DocSecurity>0</DocSecurity>
  <Lines>66</Lines>
  <Paragraphs>18</Paragraphs>
  <ScaleCrop>false</ScaleCrop>
  <Company/>
  <LinksUpToDate>false</LinksUpToDate>
  <CharactersWithSpaces>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Lòpez</dc:creator>
  <cp:keywords/>
  <dc:description/>
  <cp:lastModifiedBy>Diana Alexandra Orozco Lòpez</cp:lastModifiedBy>
  <cp:revision>1</cp:revision>
  <dcterms:created xsi:type="dcterms:W3CDTF">2024-03-13T13:56:00Z</dcterms:created>
  <dcterms:modified xsi:type="dcterms:W3CDTF">2024-03-13T14:01:00Z</dcterms:modified>
</cp:coreProperties>
</file>