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3C0B4" w14:textId="77777777" w:rsidR="0098610F" w:rsidRPr="0098610F" w:rsidRDefault="0098610F" w:rsidP="009861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OFICIO </w:t>
      </w:r>
      <w:proofErr w:type="spellStart"/>
      <w:r w:rsidRPr="0098610F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Nº</w:t>
      </w:r>
      <w:proofErr w:type="spellEnd"/>
      <w:r w:rsidRPr="0098610F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 888 [008756]</w:t>
      </w:r>
    </w:p>
    <w:p w14:paraId="0794A956" w14:textId="77777777" w:rsidR="0098610F" w:rsidRPr="0098610F" w:rsidRDefault="0098610F" w:rsidP="009861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11-04-2019</w:t>
      </w:r>
    </w:p>
    <w:p w14:paraId="6D3109F4" w14:textId="77777777" w:rsidR="0098610F" w:rsidRPr="0098610F" w:rsidRDefault="0098610F" w:rsidP="009861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DIAN</w:t>
      </w:r>
    </w:p>
    <w:p w14:paraId="0D57BAF2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 </w:t>
      </w:r>
    </w:p>
    <w:p w14:paraId="79AB9F91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 </w:t>
      </w:r>
    </w:p>
    <w:p w14:paraId="48156CB8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Subdirección de Gestión Normativa y Doctrina</w:t>
      </w:r>
    </w:p>
    <w:p w14:paraId="78F8B02C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Bogotá, D.C.</w:t>
      </w:r>
    </w:p>
    <w:p w14:paraId="778B864F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100208221 – 000888</w:t>
      </w:r>
    </w:p>
    <w:p w14:paraId="3EAC8E7E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7CE3531C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spellStart"/>
      <w:r w:rsidRPr="0098610F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Ref</w:t>
      </w:r>
      <w:proofErr w:type="spellEnd"/>
      <w:r w:rsidRPr="0098610F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:</w:t>
      </w: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Radicado 100014712 del 05/03/2019</w:t>
      </w:r>
    </w:p>
    <w:p w14:paraId="37F8431F" w14:textId="77777777" w:rsidR="0098610F" w:rsidRPr="0098610F" w:rsidRDefault="0098610F" w:rsidP="0098610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69"/>
        <w:gridCol w:w="276"/>
        <w:gridCol w:w="449"/>
        <w:gridCol w:w="4329"/>
      </w:tblGrid>
      <w:tr w:rsidR="0098610F" w:rsidRPr="0098610F" w14:paraId="3DC74268" w14:textId="77777777" w:rsidTr="0098610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3D01B" w14:textId="77777777" w:rsidR="0098610F" w:rsidRPr="0098610F" w:rsidRDefault="0098610F" w:rsidP="009861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86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  <w:t>Tema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37F77" w14:textId="77777777" w:rsidR="0098610F" w:rsidRPr="0098610F" w:rsidRDefault="0098610F" w:rsidP="009861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8610F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DC209" w14:textId="77777777" w:rsidR="0098610F" w:rsidRPr="0098610F" w:rsidRDefault="0098610F" w:rsidP="009861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8610F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9A9E2" w14:textId="77777777" w:rsidR="0098610F" w:rsidRPr="0098610F" w:rsidRDefault="0098610F" w:rsidP="009861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8610F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Régimen Unificado de Tributación SIMPLE</w:t>
            </w:r>
          </w:p>
        </w:tc>
      </w:tr>
      <w:tr w:rsidR="0098610F" w:rsidRPr="0098610F" w14:paraId="3DEB3BEB" w14:textId="77777777" w:rsidTr="0098610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B5AA3" w14:textId="77777777" w:rsidR="0098610F" w:rsidRPr="0098610F" w:rsidRDefault="0098610F" w:rsidP="009861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86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  <w:t>Descriptores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0E44D" w14:textId="77777777" w:rsidR="0098610F" w:rsidRPr="0098610F" w:rsidRDefault="0098610F" w:rsidP="009861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8610F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32395" w14:textId="77777777" w:rsidR="0098610F" w:rsidRPr="0098610F" w:rsidRDefault="0098610F" w:rsidP="009861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8610F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8DB27" w14:textId="77777777" w:rsidR="0098610F" w:rsidRPr="0098610F" w:rsidRDefault="0098610F" w:rsidP="009861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8610F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SUJETOS PASIVOS</w:t>
            </w:r>
          </w:p>
          <w:p w14:paraId="131C40B6" w14:textId="77777777" w:rsidR="0098610F" w:rsidRPr="0098610F" w:rsidRDefault="0098610F" w:rsidP="009861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8610F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es-CO"/>
              </w:rPr>
              <w:t>Sujetos que no pueden optar por el Impuesto</w:t>
            </w:r>
          </w:p>
        </w:tc>
      </w:tr>
      <w:tr w:rsidR="0098610F" w:rsidRPr="0098610F" w14:paraId="701E00D2" w14:textId="77777777" w:rsidTr="0098610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669E3" w14:textId="77777777" w:rsidR="0098610F" w:rsidRPr="0098610F" w:rsidRDefault="0098610F" w:rsidP="009861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86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  <w:t>Fuentes formales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8CFD3" w14:textId="77777777" w:rsidR="0098610F" w:rsidRPr="0098610F" w:rsidRDefault="0098610F" w:rsidP="009861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8610F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9D1DB" w14:textId="77777777" w:rsidR="0098610F" w:rsidRPr="0098610F" w:rsidRDefault="0098610F" w:rsidP="009861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8610F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4903B" w14:textId="77777777" w:rsidR="0098610F" w:rsidRPr="0098610F" w:rsidRDefault="0098610F" w:rsidP="009861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8610F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Estatuto Tributario arts. 904, 906.</w:t>
            </w:r>
          </w:p>
        </w:tc>
      </w:tr>
    </w:tbl>
    <w:p w14:paraId="4A126CE1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3FE7BF7E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38AA10C0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De conformidad con el artículo 20 del Decreto 4048 de 2008 es función de esta Subdirección absolver de modo general las consultas escritas que se formulen sobre interpretación y aplicación de las normas tributarias de carácter nacional, aduaneras y cambiarias en lo de competencia de esta entidad.</w:t>
      </w:r>
    </w:p>
    <w:p w14:paraId="6F5176A1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2340F95F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Es preciso señalar que no corresponde a esta dependencia conceptuar sobre los procedimientos específicos a seguir, o las actuaciones particulares por adelantar con ocasión de actos o actuaciones administrativas de los funcionarios de esta entidad, tampoco corresponde definir, desatar, investigar o juzgar las actuaciones administrativas de los mismos, considerando que a esta Dirección le corresponde absolver consultas sobre interpretación y aplicación de normas tributarias de carácter nacional, aduaneras y cambiarias.</w:t>
      </w:r>
    </w:p>
    <w:p w14:paraId="0EAB8728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656CD49C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En igual sentido, los conceptos que se emiten por este despacho tienen como fundamento las circunstancias presentadas en las consultas y buscan atender los supuestos de hecho y de derecho expuestos en estas en forma general; por ello, se recomienda que la lectura del mismo se haga en forma integral para la comprensión de su alcance, el cual no debe extenderse a situaciones diferentes a las planteadas y estudiadas.</w:t>
      </w:r>
    </w:p>
    <w:p w14:paraId="1B253EAA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7EE1B900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En el contexto señalado se atenderá la consulta que plantea la siguiente pregunta:</w:t>
      </w:r>
    </w:p>
    <w:p w14:paraId="34832C83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274F6CA4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es-CO"/>
        </w:rPr>
      </w:pPr>
      <w:r w:rsidRPr="0098610F">
        <w:rPr>
          <w:rFonts w:ascii="Times New Roman" w:eastAsia="Times New Roman" w:hAnsi="Times New Roman" w:cs="Times New Roman"/>
          <w:sz w:val="36"/>
          <w:szCs w:val="36"/>
          <w:highlight w:val="green"/>
          <w:lang w:eastAsia="es-CO"/>
        </w:rPr>
        <w:lastRenderedPageBreak/>
        <w:t>¿Una sociedad cuyos accionistas son a la vez sus empleados, puede acogerse al régimen SIMPLE de tributación?</w:t>
      </w:r>
    </w:p>
    <w:p w14:paraId="2D079B42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es-CO"/>
        </w:rPr>
      </w:pPr>
      <w:r w:rsidRPr="0098610F">
        <w:rPr>
          <w:rFonts w:ascii="Times New Roman" w:eastAsia="Times New Roman" w:hAnsi="Times New Roman" w:cs="Times New Roman"/>
          <w:sz w:val="36"/>
          <w:szCs w:val="36"/>
          <w:lang w:eastAsia="es-CO"/>
        </w:rPr>
        <w:t> </w:t>
      </w:r>
    </w:p>
    <w:p w14:paraId="17DBF7FD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La Ley 1943 de 2018 incorporó al estatuto tributario el Libro Octavo “IMPUESTO UNIFICADO BAJO EL RÉGIMEN SIMPLE DE TRIBUTACIÓN (SIMPLE) PARA LA FORMALIZACIÓN Y LA GENERACIÓN DE EMPLEO.”</w:t>
      </w:r>
    </w:p>
    <w:p w14:paraId="6CC5638C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6B88EC5D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En el artículo 904 se consagra el hecho generador y los artículos 905 y 906 contienen lo pertinente a quienes pueden y no acogerse a este régimen.</w:t>
      </w:r>
    </w:p>
    <w:p w14:paraId="7EE0AB62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 </w:t>
      </w:r>
    </w:p>
    <w:p w14:paraId="0C1BDBB2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b/>
          <w:i/>
          <w:sz w:val="24"/>
          <w:szCs w:val="24"/>
          <w:lang w:eastAsia="es-CO"/>
        </w:rPr>
        <w:t>“ARTÍCULO 905. SUJETOS PASIVOS.</w:t>
      </w:r>
    </w:p>
    <w:p w14:paraId="23C7F057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&lt;Artículo adicionado por el artículo 66 de la Ley 1943 de 2018.&gt; Podrán ser sujetos pasivos del impuesto unificado bajo el Régimen Simple de Tributación (Simple) las personas naturales o jurídicas que reúnan la totalidad de las siguientes condiciones:</w:t>
      </w:r>
    </w:p>
    <w:p w14:paraId="485C07AE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 </w:t>
      </w:r>
    </w:p>
    <w:p w14:paraId="0D9F8265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1. Que se trate de una persona natural que desarrolle una empresa o de una persona jurídica en la que sus socios, partícipes o accionistas sean personas naturales, nacionales o extranjeras, residentes en Colombia.</w:t>
      </w:r>
    </w:p>
    <w:p w14:paraId="3B5A0A8C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2. Que en el año gravable anterior hubieren obtenido ingresos brutos, ordinarios o extraordinarios, inferiores a 80.000 UVT. En el caso de las empresas o personas jurídicas nuevas, la inscripción en el impuesto unificado bajo el Régimen Simple de Tributación (Simple) estará condicionada a que los ingresos del año no superen estos límites.</w:t>
      </w:r>
    </w:p>
    <w:p w14:paraId="08537CFF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(…).”</w:t>
      </w:r>
    </w:p>
    <w:p w14:paraId="05EEF7D7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3BA6A53C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es-CO"/>
        </w:rPr>
      </w:pPr>
      <w:r w:rsidRPr="0098610F">
        <w:rPr>
          <w:rFonts w:ascii="Times New Roman" w:eastAsia="Times New Roman" w:hAnsi="Times New Roman" w:cs="Times New Roman"/>
          <w:sz w:val="36"/>
          <w:szCs w:val="36"/>
          <w:highlight w:val="green"/>
          <w:lang w:eastAsia="es-CO"/>
        </w:rPr>
        <w:t>En principio, una sociedad cuyos socios sean residentes en el territorio nacional, puede pertenecer al régimen SIMPLE de tributación.</w:t>
      </w:r>
    </w:p>
    <w:p w14:paraId="031DB622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es-CO"/>
        </w:rPr>
      </w:pPr>
      <w:r w:rsidRPr="0098610F">
        <w:rPr>
          <w:rFonts w:ascii="Times New Roman" w:eastAsia="Times New Roman" w:hAnsi="Times New Roman" w:cs="Times New Roman"/>
          <w:sz w:val="36"/>
          <w:szCs w:val="36"/>
          <w:lang w:eastAsia="es-CO"/>
        </w:rPr>
        <w:t> </w:t>
      </w:r>
    </w:p>
    <w:p w14:paraId="25E0E6D5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No </w:t>
      </w:r>
      <w:proofErr w:type="gramStart"/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obstante</w:t>
      </w:r>
      <w:proofErr w:type="gramEnd"/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lo anterior, debe tenerse en cuenta que la Ley también estableció quienes son los sujetos que no pueden optar por el citado impuesto, así:</w:t>
      </w:r>
    </w:p>
    <w:p w14:paraId="400440DD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b/>
          <w:i/>
          <w:sz w:val="24"/>
          <w:szCs w:val="24"/>
          <w:lang w:eastAsia="es-CO"/>
        </w:rPr>
        <w:t> </w:t>
      </w:r>
    </w:p>
    <w:p w14:paraId="7E3933B3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b/>
          <w:i/>
          <w:sz w:val="24"/>
          <w:szCs w:val="24"/>
          <w:lang w:eastAsia="es-CO"/>
        </w:rPr>
        <w:t xml:space="preserve">“ARTÍCULO 906. SUJETOS QUE NO PUEDEN OPTAR POR EL IMPUESTO UNIFICADO BAJO EL RÉGIMEN SIMPLE DE TRIBUTACIÓN –SIMPLE. </w:t>
      </w: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No podrán optar por el impuesto unificado bajo el régimen simple de tributación –SIMPLE:</w:t>
      </w:r>
    </w:p>
    <w:p w14:paraId="73815CED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 </w:t>
      </w:r>
    </w:p>
    <w:p w14:paraId="44D6D686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1. Las personas jurídicas extranjeras o sus establecimientos permanentes</w:t>
      </w:r>
    </w:p>
    <w:p w14:paraId="00F0B836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lastRenderedPageBreak/>
        <w:t>2. Las personas naturales sin residencia en el país o sus establecimientos permanentes.</w:t>
      </w:r>
    </w:p>
    <w:p w14:paraId="2DD7A7D1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3. Las personas naturales residentes en el país que en el ejercicio de sus actividades configuren los elementos propios de un contrato realidad laboral o relación legal y reglamentaria de acuerdo con las normas vigentes. La Dirección de Impuestos y Aduanas Nacionales –DIAN no requerirá pronunciamiento de otra autoridad judicial o administrativa para el efecto.</w:t>
      </w:r>
    </w:p>
    <w:p w14:paraId="454DB93F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s-CO"/>
        </w:rPr>
        <w:t>4. Las sociedades cuyos socios o administradores tengan en sustancia una relación laboral con el contratante, por tratarse de servicios personales, prestados con habitualidad y subordinación</w:t>
      </w: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.</w:t>
      </w:r>
    </w:p>
    <w:p w14:paraId="51C86D55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5. Las entidades que sean filiales, subsidiarias, agencias, sucursales, de personas jurídicas nacionales o extranjeras, o de extranjeros no residentes.</w:t>
      </w:r>
    </w:p>
    <w:p w14:paraId="111723F5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6. Las sociedades que sean accionistas, suscriptores, partícipes, fideicomitentes o beneficiarios de otras sociedades o entidades legales, en Colombia o el exterior.</w:t>
      </w:r>
    </w:p>
    <w:p w14:paraId="3FCB2BD2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7. Las sociedades que sean entidades financieras.</w:t>
      </w:r>
    </w:p>
    <w:p w14:paraId="705CEB81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8. Las personas naturales o jurídicas dedicadas a alguna de las siguientes actividades:</w:t>
      </w:r>
    </w:p>
    <w:p w14:paraId="37C3BA5C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 </w:t>
      </w:r>
    </w:p>
    <w:p w14:paraId="6AD1370F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a. Actividades de microcrédito;</w:t>
      </w:r>
    </w:p>
    <w:p w14:paraId="773A19E8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b. Actividades de gestión de activos, intermediación en la venta de activos, arrendamiento de activos y/o las actividades que generen ingresos pasivos que representen un 20% o más de los ingresos brutos totales de la persona natural o jurídica.</w:t>
      </w:r>
    </w:p>
    <w:p w14:paraId="0B00C302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 xml:space="preserve">c. Factoraje o </w:t>
      </w:r>
      <w:proofErr w:type="spellStart"/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factoring</w:t>
      </w:r>
      <w:proofErr w:type="spellEnd"/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;</w:t>
      </w:r>
    </w:p>
    <w:p w14:paraId="3745E298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d. Servicios de asesoría financiera y/o estructuración de créditos;</w:t>
      </w:r>
    </w:p>
    <w:p w14:paraId="0F12A3E9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e. Generación, transmisión, distribución o comercialización de energía eléctrica;</w:t>
      </w:r>
    </w:p>
    <w:p w14:paraId="5926C815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f. Actividad de fabricación, importación o comercialización de automóviles;</w:t>
      </w:r>
    </w:p>
    <w:p w14:paraId="3FD6AE70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g. Actividad de importación de combustibles;</w:t>
      </w:r>
    </w:p>
    <w:p w14:paraId="29EECC3D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h. Producción o comercialización de armas de fuego, municiones y pólvoras, explosivos y detonantes.</w:t>
      </w:r>
    </w:p>
    <w:p w14:paraId="491E19ED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 </w:t>
      </w:r>
    </w:p>
    <w:p w14:paraId="22D563CE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9. Las personas naturales o jurídicas que desarrollen simultáneamente una de las actividades relacionadas en el numeral 8 anterior y otra diferente.</w:t>
      </w:r>
    </w:p>
    <w:p w14:paraId="6F628CFB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 xml:space="preserve">10. Las sociedades que sean el resultado de la segregación, división o escisión de un negocio, que haya ocurrido en los cinco (5) años anteriores al momento de la solicitud de inscripción.” </w:t>
      </w: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Subrayado fuera de texto.</w:t>
      </w:r>
    </w:p>
    <w:p w14:paraId="32C76D66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27BCB168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es-CO"/>
        </w:rPr>
      </w:pPr>
      <w:r w:rsidRPr="0098610F">
        <w:rPr>
          <w:rFonts w:ascii="Times New Roman" w:eastAsia="Times New Roman" w:hAnsi="Times New Roman" w:cs="Times New Roman"/>
          <w:sz w:val="36"/>
          <w:szCs w:val="36"/>
          <w:highlight w:val="green"/>
          <w:lang w:eastAsia="es-CO"/>
        </w:rPr>
        <w:t xml:space="preserve">Así, una sociedad cuyos socios sean residentes en el territorio nacional y empleados de esa misma sociedad, puede pertenecer al régimen SIMPLE de tributación en la medida en que se cumplan </w:t>
      </w:r>
      <w:r w:rsidRPr="0098610F">
        <w:rPr>
          <w:rFonts w:ascii="Times New Roman" w:eastAsia="Times New Roman" w:hAnsi="Times New Roman" w:cs="Times New Roman"/>
          <w:sz w:val="36"/>
          <w:szCs w:val="36"/>
          <w:highlight w:val="green"/>
          <w:lang w:eastAsia="es-CO"/>
        </w:rPr>
        <w:lastRenderedPageBreak/>
        <w:t>las demás condiciones legales para ello, pues la ley no estableció limitación al respecto.</w:t>
      </w:r>
    </w:p>
    <w:p w14:paraId="0CEEA3F9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es-CO"/>
        </w:rPr>
      </w:pPr>
      <w:r w:rsidRPr="0098610F">
        <w:rPr>
          <w:rFonts w:ascii="Times New Roman" w:eastAsia="Times New Roman" w:hAnsi="Times New Roman" w:cs="Times New Roman"/>
          <w:sz w:val="36"/>
          <w:szCs w:val="36"/>
          <w:lang w:eastAsia="es-CO"/>
        </w:rPr>
        <w:t> </w:t>
      </w:r>
    </w:p>
    <w:p w14:paraId="3A153BFC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Sin embargo, debe tenerse en cuenta que no se esté inmerso en alguna de las causales del artículo 906 </w:t>
      </w:r>
      <w:proofErr w:type="spellStart"/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ibídem</w:t>
      </w:r>
      <w:proofErr w:type="spellEnd"/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, que hacen improcedente la pertenencia a este régimen SIMPLE:</w:t>
      </w:r>
    </w:p>
    <w:p w14:paraId="5BAAF2AF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482D0FFF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En este contexto, se encuentra que, por ejemplo, el numeral 4 del artículo antes citado consagra una limitante para las sociedades cuyos socios o administradores tengan una relación laboral con el contratante que contrate los servicios de la sociedad que son socios. Para efectos de ilustrar este punto, a </w:t>
      </w:r>
      <w:proofErr w:type="gramStart"/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continuación</w:t>
      </w:r>
      <w:proofErr w:type="gramEnd"/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se presenta un ejemplo:</w:t>
      </w:r>
    </w:p>
    <w:p w14:paraId="03CB7D1C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308B5BFC" w14:textId="77777777" w:rsidR="0098610F" w:rsidRPr="0098610F" w:rsidRDefault="0098610F" w:rsidP="0098610F">
      <w:pPr>
        <w:tabs>
          <w:tab w:val="left" w:pos="450"/>
        </w:tabs>
        <w:spacing w:after="0" w:line="360" w:lineRule="auto"/>
        <w:ind w:left="690" w:hanging="270"/>
        <w:contextualSpacing/>
        <w:jc w:val="both"/>
        <w:rPr>
          <w:rFonts w:ascii="Times New Roman" w:eastAsia="Times New Roman" w:hAnsi="Times New Roman" w:cs="Times New Roman"/>
          <w:sz w:val="36"/>
          <w:szCs w:val="36"/>
          <w:highlight w:val="green"/>
          <w:lang w:eastAsia="es-CO"/>
        </w:rPr>
      </w:pPr>
      <w:r w:rsidRPr="0098610F">
        <w:rPr>
          <w:rFonts w:ascii="Times New Roman" w:eastAsia="Symbol" w:hAnsi="Times New Roman" w:cs="Times New Roman"/>
          <w:sz w:val="36"/>
          <w:szCs w:val="36"/>
          <w:highlight w:val="green"/>
          <w:lang w:eastAsia="es-CO"/>
        </w:rPr>
        <w:t xml:space="preserve">·      </w:t>
      </w:r>
      <w:r w:rsidRPr="0098610F">
        <w:rPr>
          <w:rFonts w:ascii="Times New Roman" w:eastAsia="Times New Roman" w:hAnsi="Times New Roman" w:cs="Times New Roman"/>
          <w:sz w:val="36"/>
          <w:szCs w:val="36"/>
          <w:highlight w:val="green"/>
          <w:lang w:eastAsia="es-CO"/>
        </w:rPr>
        <w:t>Las sociedades A y B tienen una relación contractual.</w:t>
      </w:r>
    </w:p>
    <w:p w14:paraId="6D54B0F4" w14:textId="77777777" w:rsidR="0098610F" w:rsidRPr="0098610F" w:rsidRDefault="0098610F" w:rsidP="0098610F">
      <w:pPr>
        <w:tabs>
          <w:tab w:val="left" w:pos="450"/>
        </w:tabs>
        <w:spacing w:after="0" w:line="360" w:lineRule="auto"/>
        <w:ind w:left="690" w:hanging="270"/>
        <w:contextualSpacing/>
        <w:jc w:val="both"/>
        <w:rPr>
          <w:rFonts w:ascii="Times New Roman" w:eastAsia="Times New Roman" w:hAnsi="Times New Roman" w:cs="Times New Roman"/>
          <w:sz w:val="36"/>
          <w:szCs w:val="36"/>
          <w:highlight w:val="green"/>
          <w:lang w:eastAsia="es-CO"/>
        </w:rPr>
      </w:pPr>
      <w:r w:rsidRPr="0098610F">
        <w:rPr>
          <w:rFonts w:ascii="Times New Roman" w:eastAsia="Symbol" w:hAnsi="Times New Roman" w:cs="Times New Roman"/>
          <w:sz w:val="36"/>
          <w:szCs w:val="36"/>
          <w:highlight w:val="green"/>
          <w:lang w:eastAsia="es-CO"/>
        </w:rPr>
        <w:t xml:space="preserve">·      </w:t>
      </w:r>
      <w:r w:rsidRPr="0098610F">
        <w:rPr>
          <w:rFonts w:ascii="Times New Roman" w:eastAsia="Times New Roman" w:hAnsi="Times New Roman" w:cs="Times New Roman"/>
          <w:sz w:val="36"/>
          <w:szCs w:val="36"/>
          <w:highlight w:val="green"/>
          <w:lang w:eastAsia="es-CO"/>
        </w:rPr>
        <w:t>La sociedad B presta servicios a favor de la Sociedad A.</w:t>
      </w:r>
    </w:p>
    <w:p w14:paraId="65157BBF" w14:textId="77777777" w:rsidR="0098610F" w:rsidRPr="0098610F" w:rsidRDefault="0098610F" w:rsidP="0098610F">
      <w:pPr>
        <w:tabs>
          <w:tab w:val="left" w:pos="450"/>
        </w:tabs>
        <w:spacing w:after="0" w:line="360" w:lineRule="auto"/>
        <w:ind w:left="690" w:hanging="270"/>
        <w:contextualSpacing/>
        <w:jc w:val="both"/>
        <w:rPr>
          <w:rFonts w:ascii="Times New Roman" w:eastAsia="Times New Roman" w:hAnsi="Times New Roman" w:cs="Times New Roman"/>
          <w:sz w:val="36"/>
          <w:szCs w:val="36"/>
          <w:highlight w:val="green"/>
          <w:lang w:eastAsia="es-CO"/>
        </w:rPr>
      </w:pPr>
      <w:r w:rsidRPr="0098610F">
        <w:rPr>
          <w:rFonts w:ascii="Times New Roman" w:eastAsia="Symbol" w:hAnsi="Times New Roman" w:cs="Times New Roman"/>
          <w:sz w:val="36"/>
          <w:szCs w:val="36"/>
          <w:highlight w:val="green"/>
          <w:lang w:eastAsia="es-CO"/>
        </w:rPr>
        <w:t xml:space="preserve">·      </w:t>
      </w:r>
      <w:r w:rsidRPr="0098610F">
        <w:rPr>
          <w:rFonts w:ascii="Times New Roman" w:eastAsia="Times New Roman" w:hAnsi="Times New Roman" w:cs="Times New Roman"/>
          <w:sz w:val="36"/>
          <w:szCs w:val="36"/>
          <w:highlight w:val="green"/>
          <w:lang w:eastAsia="es-CO"/>
        </w:rPr>
        <w:t>Uno o varios de los socios o administradores de la sociedad B configuran una relación laboral con la sociedad A, de habitualidad y subordinación, aunque no se encuentre legalmente formalizada como tal.</w:t>
      </w:r>
    </w:p>
    <w:p w14:paraId="04393903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highlight w:val="green"/>
          <w:lang w:eastAsia="es-CO"/>
        </w:rPr>
      </w:pPr>
      <w:r w:rsidRPr="0098610F">
        <w:rPr>
          <w:rFonts w:ascii="Times New Roman" w:eastAsia="Times New Roman" w:hAnsi="Times New Roman" w:cs="Times New Roman"/>
          <w:sz w:val="36"/>
          <w:szCs w:val="36"/>
          <w:highlight w:val="green"/>
          <w:lang w:eastAsia="es-CO"/>
        </w:rPr>
        <w:t> </w:t>
      </w:r>
    </w:p>
    <w:p w14:paraId="224CEDC6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es-CO"/>
        </w:rPr>
      </w:pPr>
      <w:r w:rsidRPr="0098610F">
        <w:rPr>
          <w:rFonts w:ascii="Times New Roman" w:eastAsia="Times New Roman" w:hAnsi="Times New Roman" w:cs="Times New Roman"/>
          <w:sz w:val="36"/>
          <w:szCs w:val="36"/>
          <w:highlight w:val="green"/>
          <w:lang w:eastAsia="es-CO"/>
        </w:rPr>
        <w:t>En este evento, al configurarse en sustancia la situación prevista en el numeral 4 del artículo 906 del E.T. citado, no es posible para la sociedad B acogerse el régimen SIMPLE DE TRIBUTACIÓN.</w:t>
      </w:r>
    </w:p>
    <w:p w14:paraId="7C4A9BEB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14D7C207" w14:textId="77777777" w:rsidR="006C0023" w:rsidRDefault="006C0023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7329EEB4" w14:textId="7B01F31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2AB755BF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Atentamente,</w:t>
      </w:r>
    </w:p>
    <w:p w14:paraId="566138A8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6AC76EAE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7FEDE764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LORENZO CASTILLO BARVO</w:t>
      </w:r>
    </w:p>
    <w:p w14:paraId="64D2F3F7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Subdirector de Gestión Normativa y Doctrina (E)</w:t>
      </w:r>
    </w:p>
    <w:p w14:paraId="0BE648B0" w14:textId="77777777" w:rsidR="0098610F" w:rsidRPr="0098610F" w:rsidRDefault="0098610F" w:rsidP="0098610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Dirección de Gestión Jurídica UAE-DIAN</w:t>
      </w:r>
    </w:p>
    <w:p w14:paraId="41EA3F76" w14:textId="77777777" w:rsidR="007F5CC8" w:rsidRPr="0098610F" w:rsidRDefault="007F5CC8" w:rsidP="009861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F5CC8" w:rsidRPr="0098610F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0F"/>
    <w:rsid w:val="000F3837"/>
    <w:rsid w:val="001E311E"/>
    <w:rsid w:val="00434AE6"/>
    <w:rsid w:val="006C0023"/>
    <w:rsid w:val="007F5CC8"/>
    <w:rsid w:val="008779BE"/>
    <w:rsid w:val="0098610F"/>
    <w:rsid w:val="00E97B54"/>
    <w:rsid w:val="00E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1D1A"/>
  <w15:chartTrackingRefBased/>
  <w15:docId w15:val="{E2466583-EA28-45B8-B924-6475A2E0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822562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1100</Words>
  <Characters>6055</Characters>
  <Application>Microsoft Office Word</Application>
  <DocSecurity>0</DocSecurity>
  <Lines>50</Lines>
  <Paragraphs>14</Paragraphs>
  <ScaleCrop>false</ScaleCrop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CNETCO</dc:creator>
  <cp:keywords/>
  <dc:description/>
  <cp:lastModifiedBy>Guillermo Alzate Duque</cp:lastModifiedBy>
  <cp:revision>3</cp:revision>
  <dcterms:created xsi:type="dcterms:W3CDTF">2021-09-08T14:38:00Z</dcterms:created>
  <dcterms:modified xsi:type="dcterms:W3CDTF">2022-02-02T01:32:00Z</dcterms:modified>
</cp:coreProperties>
</file>