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F5C9" w14:textId="77777777" w:rsidR="00C07C88" w:rsidRDefault="00C07C88" w:rsidP="00C07C88">
      <w:pPr>
        <w:pStyle w:val="NormalWeb"/>
        <w:shd w:val="clear" w:color="auto" w:fill="FFFFFF"/>
        <w:spacing w:before="0" w:beforeAutospacing="0" w:after="150" w:afterAutospacing="0"/>
        <w:jc w:val="center"/>
        <w:rPr>
          <w:rFonts w:ascii="Helvetica" w:hAnsi="Helvetica" w:cs="Helvetica"/>
          <w:color w:val="555555"/>
          <w:sz w:val="21"/>
          <w:szCs w:val="21"/>
        </w:rPr>
      </w:pPr>
      <w:r>
        <w:rPr>
          <w:rFonts w:ascii="Segoe UI" w:hAnsi="Segoe UI" w:cs="Segoe UI"/>
          <w:b/>
          <w:bCs/>
          <w:color w:val="0000FF"/>
          <w:sz w:val="28"/>
          <w:szCs w:val="28"/>
        </w:rPr>
        <w:t xml:space="preserve">OFICIO </w:t>
      </w:r>
      <w:proofErr w:type="spellStart"/>
      <w:r>
        <w:rPr>
          <w:rFonts w:ascii="Segoe UI" w:hAnsi="Segoe UI" w:cs="Segoe UI"/>
          <w:b/>
          <w:bCs/>
          <w:color w:val="0000FF"/>
          <w:sz w:val="28"/>
          <w:szCs w:val="28"/>
        </w:rPr>
        <w:t>Nº</w:t>
      </w:r>
      <w:proofErr w:type="spellEnd"/>
      <w:r>
        <w:rPr>
          <w:rFonts w:ascii="Segoe UI" w:hAnsi="Segoe UI" w:cs="Segoe UI"/>
          <w:b/>
          <w:bCs/>
          <w:color w:val="0000FF"/>
          <w:sz w:val="28"/>
          <w:szCs w:val="28"/>
        </w:rPr>
        <w:t xml:space="preserve"> 867</w:t>
      </w:r>
    </w:p>
    <w:p w14:paraId="200FF451" w14:textId="77777777" w:rsidR="00C07C88" w:rsidRDefault="00C07C88" w:rsidP="00C07C88">
      <w:pPr>
        <w:pStyle w:val="NormalWeb"/>
        <w:shd w:val="clear" w:color="auto" w:fill="FFFFFF"/>
        <w:spacing w:before="0" w:beforeAutospacing="0" w:after="150" w:afterAutospacing="0"/>
        <w:jc w:val="center"/>
        <w:rPr>
          <w:rFonts w:ascii="Helvetica" w:hAnsi="Helvetica" w:cs="Helvetica"/>
          <w:color w:val="555555"/>
          <w:sz w:val="21"/>
          <w:szCs w:val="21"/>
        </w:rPr>
      </w:pPr>
      <w:r>
        <w:rPr>
          <w:rFonts w:ascii="Segoe UI" w:hAnsi="Segoe UI" w:cs="Segoe UI"/>
          <w:b/>
          <w:bCs/>
          <w:color w:val="0000FF"/>
          <w:sz w:val="28"/>
          <w:szCs w:val="28"/>
        </w:rPr>
        <w:t>16-07-2020</w:t>
      </w:r>
    </w:p>
    <w:p w14:paraId="1F1C882B" w14:textId="77777777" w:rsidR="00C07C88" w:rsidRDefault="00C07C88" w:rsidP="00C07C88">
      <w:pPr>
        <w:pStyle w:val="NormalWeb"/>
        <w:shd w:val="clear" w:color="auto" w:fill="FFFFFF"/>
        <w:spacing w:before="0" w:beforeAutospacing="0" w:after="150" w:afterAutospacing="0"/>
        <w:jc w:val="center"/>
        <w:rPr>
          <w:rFonts w:ascii="Helvetica" w:hAnsi="Helvetica" w:cs="Helvetica"/>
          <w:color w:val="555555"/>
          <w:sz w:val="21"/>
          <w:szCs w:val="21"/>
        </w:rPr>
      </w:pPr>
      <w:r>
        <w:rPr>
          <w:rFonts w:ascii="Segoe UI" w:hAnsi="Segoe UI" w:cs="Segoe UI"/>
          <w:b/>
          <w:bCs/>
          <w:color w:val="0000FF"/>
          <w:sz w:val="28"/>
          <w:szCs w:val="28"/>
        </w:rPr>
        <w:t>DIAN</w:t>
      </w:r>
    </w:p>
    <w:p w14:paraId="24A08AB3"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3DF5CDE5"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19E88E01"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Subdirección de Gestión Normativa y Doctrina</w:t>
      </w:r>
    </w:p>
    <w:p w14:paraId="099C7E9B"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100208221-867</w:t>
      </w:r>
    </w:p>
    <w:p w14:paraId="53B1A34D"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Bogotá, D.C.</w:t>
      </w:r>
    </w:p>
    <w:p w14:paraId="60D29424"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098A1ABF"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b/>
          <w:bCs/>
          <w:color w:val="000000"/>
          <w:sz w:val="18"/>
          <w:szCs w:val="18"/>
        </w:rPr>
        <w:t>Tema</w:t>
      </w:r>
      <w:r>
        <w:rPr>
          <w:rFonts w:ascii="Segoe UI" w:hAnsi="Segoe UI" w:cs="Segoe UI"/>
          <w:color w:val="000000"/>
          <w:sz w:val="18"/>
          <w:szCs w:val="18"/>
        </w:rPr>
        <w:t> Impuesto sobre las ventas</w:t>
      </w:r>
    </w:p>
    <w:p w14:paraId="1230D9EC"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b/>
          <w:bCs/>
          <w:color w:val="000000"/>
          <w:sz w:val="18"/>
          <w:szCs w:val="18"/>
        </w:rPr>
        <w:t>Descriptores</w:t>
      </w:r>
      <w:r>
        <w:rPr>
          <w:rFonts w:ascii="Segoe UI" w:hAnsi="Segoe UI" w:cs="Segoe UI"/>
          <w:color w:val="000000"/>
          <w:sz w:val="18"/>
          <w:szCs w:val="18"/>
        </w:rPr>
        <w:t> Cuotas de sostenimiento clubes sociales y deportivos</w:t>
      </w:r>
    </w:p>
    <w:p w14:paraId="7724DF9D"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b/>
          <w:bCs/>
          <w:color w:val="000000"/>
          <w:sz w:val="18"/>
          <w:szCs w:val="18"/>
        </w:rPr>
        <w:t>Fuentes formales</w:t>
      </w:r>
      <w:r>
        <w:rPr>
          <w:rFonts w:ascii="Segoe UI" w:hAnsi="Segoe UI" w:cs="Segoe UI"/>
          <w:color w:val="000000"/>
          <w:sz w:val="18"/>
          <w:szCs w:val="18"/>
        </w:rPr>
        <w:t> Artículo 420 del Estatuto Tributario</w:t>
      </w:r>
    </w:p>
    <w:p w14:paraId="5CA382AB"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07D8C50C"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20C188E"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516C618"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El gremio de los clubes sociales y deportivos ha manifestado su preocupación por la compleja situación derivada de la pandemia generada por el COVID -19, la cual ha implicado la imposibilidad de prestar sus servicios con ocasión de las medidas adoptadas por las autoridades.</w:t>
      </w:r>
    </w:p>
    <w:p w14:paraId="15BA5DA3"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29A704AB"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En vista de lo anterior, dichas organizaciones consultan sobre las implicaciones en materia del impuesto sobre las ventas para las cuotas de sostenimiento durante la situación especial y atípica que genera la crisis del COVID -19.</w:t>
      </w:r>
    </w:p>
    <w:p w14:paraId="076ACE6B"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277D9E7D"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Sobre el particular, las consideraciones de este Despacho son las siguientes:</w:t>
      </w:r>
    </w:p>
    <w:p w14:paraId="1935DD0E"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26E2C0A"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El artículo 420 del Estatuto Tributario establece los hechos generadores del impuesto sobre las ventas y, en su literal c), prevé que dicho impuesto se aplicará sobre la prestación de servicios, salvo las excepciones consagradas expresamente en la ley.</w:t>
      </w:r>
    </w:p>
    <w:p w14:paraId="179C6030"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522E222"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Así las cosas, las cuotas de sostenimiento que cobran los clubes sociales y deportivos se encuentran gravadas con el impuesto sobre las ventas. En efecto, este Despacho ha sostenido reiteradamente que dichas cuotas de sostenimiento “</w:t>
      </w:r>
      <w:r>
        <w:rPr>
          <w:rFonts w:ascii="Segoe UI" w:hAnsi="Segoe UI" w:cs="Segoe UI"/>
          <w:i/>
          <w:iCs/>
          <w:color w:val="000000"/>
          <w:sz w:val="18"/>
          <w:szCs w:val="18"/>
        </w:rPr>
        <w:t>son la forma de retribuir </w:t>
      </w:r>
      <w:r>
        <w:rPr>
          <w:rFonts w:ascii="Segoe UI" w:hAnsi="Segoe UI" w:cs="Segoe UI"/>
          <w:i/>
          <w:iCs/>
          <w:color w:val="000000"/>
          <w:sz w:val="18"/>
          <w:szCs w:val="18"/>
          <w:u w:val="single"/>
        </w:rPr>
        <w:t>el servicio prestado por el club social a sus socios</w:t>
      </w:r>
      <w:r>
        <w:rPr>
          <w:rFonts w:ascii="Segoe UI" w:hAnsi="Segoe UI" w:cs="Segoe UI"/>
          <w:i/>
          <w:iCs/>
          <w:color w:val="000000"/>
          <w:sz w:val="18"/>
          <w:szCs w:val="18"/>
        </w:rPr>
        <w:t>, y la expedición de la factura señala el momento de causación del impuesto a las ventas y por ende el surgimiento de la obligación por parte del responsable.</w:t>
      </w:r>
      <w:r>
        <w:rPr>
          <w:rFonts w:ascii="Segoe UI" w:hAnsi="Segoe UI" w:cs="Segoe UI"/>
          <w:color w:val="000000"/>
          <w:sz w:val="18"/>
          <w:szCs w:val="18"/>
        </w:rPr>
        <w:t>”</w:t>
      </w:r>
    </w:p>
    <w:p w14:paraId="064A243F"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55D3BF5"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(Oficio 21237 del 15 de abril de 2005).</w:t>
      </w:r>
    </w:p>
    <w:p w14:paraId="44D21340"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A3951A5"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Ahora bien, si la situación especial y atípica que genera la crisis del COVID -19 impide a los clubes sociales y deportivos prestar sus servicios, como el uso de instalaciones deportivas, piscinas, restaurantes, salones y reservados, cuya contraprestación es la cuota de sostenimiento, pero dichos clubes deben seguir cobrando una cuota para mantener sus instalaciones, sin que se presten servicios o se desarrollen actividades, </w:t>
      </w:r>
      <w:r>
        <w:rPr>
          <w:rFonts w:ascii="Segoe UI" w:hAnsi="Segoe UI" w:cs="Segoe UI"/>
          <w:color w:val="000000"/>
          <w:sz w:val="18"/>
          <w:szCs w:val="18"/>
          <w:u w:val="single"/>
        </w:rPr>
        <w:t>este Despacho concluye que dichas cuotas para el mantenimiento no estarían gravadas con el impuesto sobre las ventas - IVA, de forma transitoria y durante el período en que no se esté prestando servicio alguno</w:t>
      </w:r>
      <w:r>
        <w:rPr>
          <w:rFonts w:ascii="Segoe UI" w:hAnsi="Segoe UI" w:cs="Segoe UI"/>
          <w:color w:val="000000"/>
          <w:sz w:val="18"/>
          <w:szCs w:val="18"/>
        </w:rPr>
        <w:t>. Lo anterior teniendo en cuenta que no se configuraría el hecho generador del impuesto, esto es, la prestación de un servicio, la posibilidad de disfrutar del mismo o el desarrollo de las actividades propias del club social o deportivo.</w:t>
      </w:r>
    </w:p>
    <w:p w14:paraId="13FE0727"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13651F57"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lastRenderedPageBreak/>
        <w:t>Los clubes sociales y deportivos deben estar en capacidad de probar la ausencia de prestación de los servicios cuya contraprestación es la cuota de sostenimiento o mantenimiento, en caso que sea necesario y en virtud de las facultades otorgadas a la DIAN en el artículo 684 del Estatuto Tributario.</w:t>
      </w:r>
    </w:p>
    <w:p w14:paraId="296FFA9D"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7EE20BE"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Pr>
            <w:rStyle w:val="Hipervnculo"/>
            <w:rFonts w:ascii="Segoe UI" w:hAnsi="Segoe UI" w:cs="Segoe UI"/>
            <w:color w:val="0563C1"/>
            <w:sz w:val="18"/>
            <w:szCs w:val="18"/>
          </w:rPr>
          <w:t>www.dian.gov.co</w:t>
        </w:r>
      </w:hyperlink>
      <w:r>
        <w:rPr>
          <w:rFonts w:ascii="Segoe UI" w:hAnsi="Segoe UI" w:cs="Segoe UI"/>
          <w:color w:val="000000"/>
          <w:sz w:val="18"/>
          <w:szCs w:val="18"/>
        </w:rPr>
        <w:t xml:space="preserve">, la base de conceptos en materia tributaria, aduanera y cambiaria expedidos desde el año 2001, la cual se puede ingresar por el ícono de “Normatividad”–“técnica”–, dando </w:t>
      </w:r>
      <w:proofErr w:type="spellStart"/>
      <w:r>
        <w:rPr>
          <w:rFonts w:ascii="Segoe UI" w:hAnsi="Segoe UI" w:cs="Segoe UI"/>
          <w:color w:val="000000"/>
          <w:sz w:val="18"/>
          <w:szCs w:val="18"/>
        </w:rPr>
        <w:t>click</w:t>
      </w:r>
      <w:proofErr w:type="spellEnd"/>
      <w:r>
        <w:rPr>
          <w:rFonts w:ascii="Segoe UI" w:hAnsi="Segoe UI" w:cs="Segoe UI"/>
          <w:color w:val="000000"/>
          <w:sz w:val="18"/>
          <w:szCs w:val="18"/>
        </w:rPr>
        <w:t xml:space="preserve"> en el link “Doctrina Dirección de Gestión Jurídica”.</w:t>
      </w:r>
    </w:p>
    <w:p w14:paraId="156AEC59"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1F9C535"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Atentamente,</w:t>
      </w:r>
    </w:p>
    <w:p w14:paraId="260F68E8"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38386047"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5D24F05"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b/>
          <w:bCs/>
          <w:color w:val="000000"/>
          <w:sz w:val="18"/>
          <w:szCs w:val="18"/>
        </w:rPr>
        <w:t>PABLO EMILIO MENDOZA VELILLA</w:t>
      </w:r>
    </w:p>
    <w:p w14:paraId="502E5ABE"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Subdirector de Gestión Normativa y Doctrina</w:t>
      </w:r>
    </w:p>
    <w:p w14:paraId="1D5C0264"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Dirección de Gestión Jurídica</w:t>
      </w:r>
    </w:p>
    <w:p w14:paraId="6DD48839" w14:textId="77777777" w:rsidR="00C07C88" w:rsidRDefault="00C07C88" w:rsidP="00C07C88">
      <w:pPr>
        <w:pStyle w:val="NormalWeb"/>
        <w:shd w:val="clear" w:color="auto" w:fill="FFFFFF"/>
        <w:spacing w:before="0" w:beforeAutospacing="0" w:after="150" w:afterAutospacing="0"/>
        <w:jc w:val="both"/>
        <w:rPr>
          <w:rFonts w:ascii="Helvetica" w:hAnsi="Helvetica" w:cs="Helvetica"/>
          <w:color w:val="555555"/>
          <w:sz w:val="21"/>
          <w:szCs w:val="21"/>
        </w:rPr>
      </w:pPr>
      <w:r>
        <w:rPr>
          <w:rFonts w:ascii="Segoe UI" w:hAnsi="Segoe UI" w:cs="Segoe UI"/>
          <w:color w:val="000000"/>
          <w:sz w:val="18"/>
          <w:szCs w:val="18"/>
        </w:rPr>
        <w:t>UAE-Dirección de Impuestos y Aduanas Nacionales</w:t>
      </w:r>
    </w:p>
    <w:p w14:paraId="0D7AE101" w14:textId="77777777" w:rsidR="00C07C88" w:rsidRDefault="00C07C88" w:rsidP="00C07C88">
      <w:pPr>
        <w:pStyle w:val="NormalWeb"/>
        <w:shd w:val="clear" w:color="auto" w:fill="FFFFFF"/>
        <w:spacing w:before="0" w:beforeAutospacing="0" w:after="285" w:afterAutospacing="0"/>
        <w:jc w:val="both"/>
        <w:rPr>
          <w:rFonts w:ascii="Helvetica" w:hAnsi="Helvetica" w:cs="Helvetica"/>
          <w:color w:val="555555"/>
          <w:sz w:val="21"/>
          <w:szCs w:val="21"/>
        </w:rPr>
      </w:pPr>
      <w:r>
        <w:rPr>
          <w:rFonts w:ascii="Arial" w:hAnsi="Arial" w:cs="Arial"/>
          <w:color w:val="000000"/>
          <w:sz w:val="18"/>
          <w:szCs w:val="18"/>
        </w:rPr>
        <w:t> </w:t>
      </w:r>
    </w:p>
    <w:p w14:paraId="24E68A8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8"/>
    <w:rsid w:val="000F3837"/>
    <w:rsid w:val="001E311E"/>
    <w:rsid w:val="00434AE6"/>
    <w:rsid w:val="007F5CC8"/>
    <w:rsid w:val="008779BE"/>
    <w:rsid w:val="00C07C8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1F1B"/>
  <w15:chartTrackingRefBased/>
  <w15:docId w15:val="{4926B439-850C-4FE8-BCE6-D9999CD3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7C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0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1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2020-07-30T01:15:00Z</dcterms:created>
  <dcterms:modified xsi:type="dcterms:W3CDTF">2020-07-30T01:16:00Z</dcterms:modified>
</cp:coreProperties>
</file>