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F58C9" w14:textId="77777777" w:rsidR="00197D88" w:rsidRPr="00197D88" w:rsidRDefault="00197D88" w:rsidP="00197D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 xml:space="preserve">OFICIO </w:t>
      </w:r>
      <w:proofErr w:type="spellStart"/>
      <w:r w:rsidRPr="00197D88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>Nº</w:t>
      </w:r>
      <w:proofErr w:type="spellEnd"/>
      <w:r w:rsidRPr="00197D88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 xml:space="preserve"> 793</w:t>
      </w:r>
    </w:p>
    <w:p w14:paraId="0AADDDE8" w14:textId="77777777" w:rsidR="00197D88" w:rsidRPr="00197D88" w:rsidRDefault="00197D88" w:rsidP="00197D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>02-07-2020</w:t>
      </w:r>
    </w:p>
    <w:p w14:paraId="4B26BA50" w14:textId="77777777" w:rsidR="00197D88" w:rsidRPr="00197D88" w:rsidRDefault="00197D88" w:rsidP="00197D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>DIAN</w:t>
      </w:r>
    </w:p>
    <w:p w14:paraId="27C66F46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02A78C9A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70C99DF3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Subdirección de Gestión Normativa y Doctrina</w:t>
      </w:r>
    </w:p>
    <w:p w14:paraId="01BD615A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100208221-793</w:t>
      </w:r>
    </w:p>
    <w:p w14:paraId="594C7DA7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Bogotá. D.C.</w:t>
      </w:r>
    </w:p>
    <w:p w14:paraId="667D6634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271"/>
        <w:gridCol w:w="271"/>
        <w:gridCol w:w="3296"/>
      </w:tblGrid>
      <w:tr w:rsidR="00197D88" w:rsidRPr="00197D88" w14:paraId="3C4CDD94" w14:textId="77777777" w:rsidTr="00197D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6D75E" w14:textId="77777777" w:rsidR="00197D88" w:rsidRPr="00197D88" w:rsidRDefault="00197D88" w:rsidP="00197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97D8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O"/>
              </w:rPr>
              <w:t>Fuentes formales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225E" w14:textId="77777777" w:rsidR="00197D88" w:rsidRPr="00197D88" w:rsidRDefault="00197D88" w:rsidP="00197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97D88"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354F" w14:textId="77777777" w:rsidR="00197D88" w:rsidRPr="00197D88" w:rsidRDefault="00197D88" w:rsidP="00197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97D88"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E447" w14:textId="77777777" w:rsidR="00197D88" w:rsidRPr="00197D88" w:rsidRDefault="00197D88" w:rsidP="00197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4" w:tooltip="Estatuto Tributario CETA" w:history="1">
              <w:r w:rsidRPr="00197D88">
                <w:rPr>
                  <w:rFonts w:ascii="Segoe UI" w:eastAsia="Times New Roman" w:hAnsi="Segoe UI" w:cs="Segoe UI"/>
                  <w:color w:val="0089E1"/>
                  <w:sz w:val="20"/>
                  <w:szCs w:val="20"/>
                  <w:lang w:eastAsia="es-CO"/>
                </w:rPr>
                <w:t>Artículo 254</w:t>
              </w:r>
            </w:hyperlink>
            <w:r w:rsidRPr="00197D88"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> del Estatuto Tributario</w:t>
            </w:r>
          </w:p>
          <w:p w14:paraId="6BD743B1" w14:textId="77777777" w:rsidR="00197D88" w:rsidRPr="00197D88" w:rsidRDefault="00197D88" w:rsidP="00197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5" w:tooltip="Estatuto Tributario CETA" w:history="1">
              <w:r w:rsidRPr="00197D88">
                <w:rPr>
                  <w:rFonts w:ascii="Segoe UI" w:eastAsia="Times New Roman" w:hAnsi="Segoe UI" w:cs="Segoe UI"/>
                  <w:color w:val="0089E1"/>
                  <w:sz w:val="20"/>
                  <w:szCs w:val="20"/>
                  <w:lang w:eastAsia="es-CO"/>
                </w:rPr>
                <w:t>Artículo 903</w:t>
              </w:r>
            </w:hyperlink>
            <w:r w:rsidRPr="00197D88"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> del Estatuto Tributario</w:t>
            </w:r>
          </w:p>
        </w:tc>
      </w:tr>
    </w:tbl>
    <w:p w14:paraId="6BDD4F67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243C1E0D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3159A779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De conformidad con el artículo 20 del Decreto 4048 de 2008, este Despacho está facultado para absolver las consultas escritas que se formulen sobre la interpretación y aplicación de las normas tributarias, aduaneras y cambiarias, en el marco de las competencias de la Dirección de Impuestos y Aduanas Nacionales.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577AA320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16D0D81F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Mediante el radicado de la referencia, el peticionario consulta si los contribuyentes del Régimen SIMPLE tienen derecho al descuento por impuestos pagados en el exterior de que trata el </w:t>
      </w:r>
      <w:hyperlink r:id="rId6" w:tooltip="Estatuto Tributario CETA" w:history="1">
        <w:r w:rsidRPr="00197D88">
          <w:rPr>
            <w:rFonts w:ascii="Segoe UI" w:eastAsia="Times New Roman" w:hAnsi="Segoe UI" w:cs="Segoe UI"/>
            <w:color w:val="0089E1"/>
            <w:sz w:val="18"/>
            <w:szCs w:val="18"/>
            <w:lang w:eastAsia="es-CO"/>
          </w:rPr>
          <w:t>artículo 254</w:t>
        </w:r>
      </w:hyperlink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del Estatuto Tributario.</w:t>
      </w:r>
    </w:p>
    <w:p w14:paraId="64FFDA67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466A83A6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Sobre el particular, las consideraciones de este Despacho son las siguientes:</w:t>
      </w:r>
    </w:p>
    <w:p w14:paraId="7F495629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3B7B6173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El </w:t>
      </w:r>
      <w:hyperlink r:id="rId7" w:tooltip="Estatuto Tributario CETA" w:history="1">
        <w:r w:rsidRPr="00197D88">
          <w:rPr>
            <w:rFonts w:ascii="Segoe UI" w:eastAsia="Times New Roman" w:hAnsi="Segoe UI" w:cs="Segoe UI"/>
            <w:color w:val="0089E1"/>
            <w:sz w:val="18"/>
            <w:szCs w:val="18"/>
            <w:lang w:eastAsia="es-CO"/>
          </w:rPr>
          <w:t>artículo 254</w:t>
        </w:r>
      </w:hyperlink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del Estatuto Tributario contempla:</w:t>
      </w:r>
    </w:p>
    <w:p w14:paraId="07564AAE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eastAsia="es-CO"/>
        </w:rPr>
        <w:t> </w:t>
      </w:r>
    </w:p>
    <w:p w14:paraId="147B96C8" w14:textId="77777777" w:rsidR="00197D88" w:rsidRPr="00197D88" w:rsidRDefault="00197D88" w:rsidP="00197D8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eastAsia="es-CO"/>
        </w:rPr>
        <w:t>“</w:t>
      </w:r>
      <w:hyperlink r:id="rId8" w:tooltip="Estatuto Tributario CETA" w:history="1">
        <w:r w:rsidRPr="00197D88">
          <w:rPr>
            <w:rFonts w:ascii="Segoe UI" w:eastAsia="Times New Roman" w:hAnsi="Segoe UI" w:cs="Segoe UI"/>
            <w:b/>
            <w:bCs/>
            <w:i/>
            <w:iCs/>
            <w:color w:val="0089E1"/>
            <w:sz w:val="18"/>
            <w:szCs w:val="18"/>
            <w:lang w:eastAsia="es-CO"/>
          </w:rPr>
          <w:t>Artículo 254</w:t>
        </w:r>
      </w:hyperlink>
      <w:r w:rsidRPr="00197D88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eastAsia="es-CO"/>
        </w:rPr>
        <w:t>. Descuento por impuestos pagados en el exterior. </w:t>
      </w:r>
      <w:r w:rsidRPr="00197D8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Las personas naturales residentes en el país y las sociedades y entidades nacionales, </w:t>
      </w:r>
      <w:r w:rsidRPr="00197D88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u w:val="single"/>
          <w:lang w:eastAsia="es-CO"/>
        </w:rPr>
        <w:t>que sean contribuyentes del impuesto sobre la renta y complementarios</w:t>
      </w:r>
      <w:r w:rsidRPr="00197D88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eastAsia="es-CO"/>
        </w:rPr>
        <w:t> </w:t>
      </w:r>
      <w:r w:rsidRPr="00197D8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y que perciban rentas de fuente extranjera sujetas al impuesto sobre la renta en el país de origen, </w:t>
      </w:r>
      <w:r w:rsidRPr="00197D88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u w:val="single"/>
          <w:lang w:eastAsia="es-CO"/>
        </w:rPr>
        <w:t>tienen derecho a descontar del monto del impuesto colombiano de renta y complementarios</w:t>
      </w:r>
      <w:r w:rsidRPr="00197D8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, el impuesto pagado en el extranjero, cualquiera sea su denominación, liquidado sobre esas mismas rentas, </w:t>
      </w:r>
      <w:r w:rsidRPr="00197D88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u w:val="single"/>
          <w:lang w:eastAsia="es-CO"/>
        </w:rPr>
        <w:t>siempre que el descuento no exceda del monto del impuesto que deba pagar el contribuyente en Colombia por esas mismas rentas</w:t>
      </w:r>
      <w:r w:rsidRPr="00197D8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. Para efectos de esta limitación general, las rentas del exterior deben depurarse imputando ingresos, costos y gastos.</w:t>
      </w:r>
    </w:p>
    <w:p w14:paraId="64543884" w14:textId="77777777" w:rsidR="00197D88" w:rsidRPr="00197D88" w:rsidRDefault="00197D88" w:rsidP="00197D8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 </w:t>
      </w:r>
    </w:p>
    <w:p w14:paraId="0E091332" w14:textId="77777777" w:rsidR="00197D88" w:rsidRPr="00197D88" w:rsidRDefault="00197D88" w:rsidP="00197D8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Cuando se trate de dividendos o participaciones provenientes de sociedades domiciliadas en el exterior, </w:t>
      </w:r>
      <w:r w:rsidRPr="00197D88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u w:val="single"/>
          <w:lang w:eastAsia="es-CO"/>
        </w:rPr>
        <w:t>habrá lugar a un descuento tributario en el impuesto sobre la renta y complementarios</w:t>
      </w:r>
      <w:r w:rsidRPr="00197D88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eastAsia="es-CO"/>
        </w:rPr>
        <w:t> </w:t>
      </w:r>
      <w:r w:rsidRPr="00197D8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por los impuestos sobre la renta pagados en el exterior, de la siguiente forma: (…)”.</w:t>
      </w:r>
    </w:p>
    <w:p w14:paraId="0D322694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57FEC532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De acuerdo con lo anterior, el descuento por impuestos pagados en el exterior de que trata el </w:t>
      </w:r>
      <w:hyperlink r:id="rId9" w:tooltip="Estatuto Tributario CETA" w:history="1">
        <w:r w:rsidRPr="00197D88">
          <w:rPr>
            <w:rFonts w:ascii="Segoe UI" w:eastAsia="Times New Roman" w:hAnsi="Segoe UI" w:cs="Segoe UI"/>
            <w:color w:val="0089E1"/>
            <w:sz w:val="18"/>
            <w:szCs w:val="18"/>
            <w:lang w:eastAsia="es-CO"/>
          </w:rPr>
          <w:t>artículo 254</w:t>
        </w:r>
      </w:hyperlink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del Estatuto Tributario es aplicable para los </w:t>
      </w:r>
      <w:r w:rsidRPr="00197D88">
        <w:rPr>
          <w:rFonts w:ascii="Segoe UI" w:eastAsia="Times New Roman" w:hAnsi="Segoe UI" w:cs="Segoe UI"/>
          <w:b/>
          <w:bCs/>
          <w:color w:val="000000"/>
          <w:sz w:val="18"/>
          <w:szCs w:val="18"/>
          <w:u w:val="single"/>
          <w:lang w:eastAsia="es-CO"/>
        </w:rPr>
        <w:t>contribuyentes del impuesto sobre la renta y complementarios</w:t>
      </w: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. En consecuencia, este Despacho concluye que dicho descuento no procede para los contribuyentes del Régimen SIMPLE.</w:t>
      </w:r>
    </w:p>
    <w:p w14:paraId="63DFE94D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20061C85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En los anteriores términos se resuelve su solicitud y finalmente le manifestamos que la Dirección de Impuestos y Aduanas Nacionales -DIAN-, con el fin de facilitar a los contribuyentes, usuarios y público en general el acceso directo a sus pronunciamientos doctrinarios, ha publicado en su página de internet </w:t>
      </w:r>
      <w:hyperlink r:id="rId10" w:history="1">
        <w:r w:rsidRPr="00197D88">
          <w:rPr>
            <w:rFonts w:ascii="Segoe UI" w:eastAsia="Times New Roman" w:hAnsi="Segoe UI" w:cs="Segoe UI"/>
            <w:color w:val="0563C1"/>
            <w:sz w:val="18"/>
            <w:szCs w:val="18"/>
            <w:lang w:eastAsia="es-CO"/>
          </w:rPr>
          <w:t>www.dian.gov.co</w:t>
        </w:r>
      </w:hyperlink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 xml:space="preserve">, la base de conceptos en materia tributaria, aduanera y cambiaria expedidos desde el año 2001, la cual se puede ingresar por el ícono de “Normatividad”–“técnica”–, dando </w:t>
      </w:r>
      <w:proofErr w:type="spellStart"/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click</w:t>
      </w:r>
      <w:proofErr w:type="spellEnd"/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 xml:space="preserve"> en el link “Doctrina Dirección de Gestión Jurídica”.</w:t>
      </w:r>
    </w:p>
    <w:p w14:paraId="2580E339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5C99D16E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Atentamente,</w:t>
      </w:r>
    </w:p>
    <w:p w14:paraId="14044CFE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es-CO"/>
        </w:rPr>
        <w:t> </w:t>
      </w:r>
    </w:p>
    <w:p w14:paraId="040A728F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es-CO"/>
        </w:rPr>
        <w:t> </w:t>
      </w:r>
    </w:p>
    <w:p w14:paraId="1FD999F7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es-CO"/>
        </w:rPr>
        <w:t>PABLO EMILIO MENDOZA VELILLA</w:t>
      </w:r>
    </w:p>
    <w:p w14:paraId="79F44D2D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Subdirector de Gestión Normativa y Doctrina</w:t>
      </w:r>
    </w:p>
    <w:p w14:paraId="2C41BD3F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Dirección de Gestión Jurídica</w:t>
      </w:r>
    </w:p>
    <w:p w14:paraId="7105E423" w14:textId="77777777" w:rsidR="00197D88" w:rsidRPr="00197D88" w:rsidRDefault="00197D88" w:rsidP="00197D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197D8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UAE-DIAN</w:t>
      </w:r>
    </w:p>
    <w:p w14:paraId="166EF9FA" w14:textId="3D08D7F7" w:rsidR="007F5CC8" w:rsidRDefault="007F5CC8"/>
    <w:p w14:paraId="17520203" w14:textId="77777777" w:rsidR="00296F01" w:rsidRDefault="00296F01"/>
    <w:sectPr w:rsidR="00296F01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8"/>
    <w:rsid w:val="000F3837"/>
    <w:rsid w:val="00197D88"/>
    <w:rsid w:val="001E311E"/>
    <w:rsid w:val="00296F01"/>
    <w:rsid w:val="00434AE6"/>
    <w:rsid w:val="007F5CC8"/>
    <w:rsid w:val="008779BE"/>
    <w:rsid w:val="00DE73AC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F73F"/>
  <w15:chartTrackingRefBased/>
  <w15:docId w15:val="{CCCFAFB6-1CEA-4495-AE36-9D051C9B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a.org.co/html/vista_de_un_articulo.asp?Norma=3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eta.org.co/html/vista_de_un_articulo.asp?Norma=32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ta.org.co/html/vista_de_un_articulo.asp?Norma=3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eta.org.co/html/vista_de_un_articulo.asp?Norma=42514" TargetMode="External"/><Relationship Id="rId10" Type="http://schemas.openxmlformats.org/officeDocument/2006/relationships/hyperlink" Target="http://www.dian.gov.co/" TargetMode="External"/><Relationship Id="rId4" Type="http://schemas.openxmlformats.org/officeDocument/2006/relationships/hyperlink" Target="https://www.ceta.org.co/html/vista_de_un_articulo.asp?Norma=327" TargetMode="External"/><Relationship Id="rId9" Type="http://schemas.openxmlformats.org/officeDocument/2006/relationships/hyperlink" Target="https://www.ceta.org.co/html/vista_de_un_articulo.asp?Norma=32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1</cp:revision>
  <dcterms:created xsi:type="dcterms:W3CDTF">2020-09-08T14:52:00Z</dcterms:created>
  <dcterms:modified xsi:type="dcterms:W3CDTF">2020-09-08T17:32:00Z</dcterms:modified>
</cp:coreProperties>
</file>