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EF3BF" w14:textId="77777777" w:rsidR="002234D8" w:rsidRPr="002234D8" w:rsidRDefault="002234D8" w:rsidP="00367F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OFICIO </w:t>
      </w:r>
      <w:proofErr w:type="spellStart"/>
      <w:r w:rsidRPr="002234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Nº</w:t>
      </w:r>
      <w:proofErr w:type="spellEnd"/>
      <w:r w:rsidRPr="002234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 xml:space="preserve"> 722</w:t>
      </w:r>
    </w:p>
    <w:p w14:paraId="0949B20D" w14:textId="77777777" w:rsidR="002234D8" w:rsidRPr="002234D8" w:rsidRDefault="002234D8" w:rsidP="00367F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17-06-2020</w:t>
      </w:r>
    </w:p>
    <w:p w14:paraId="6B40433C" w14:textId="77777777" w:rsidR="002234D8" w:rsidRPr="002234D8" w:rsidRDefault="002234D8" w:rsidP="00367F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DIAN</w:t>
      </w:r>
    </w:p>
    <w:p w14:paraId="1B603C93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56009CE8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70905163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Subdirección de Gestión Normativa y Doctrina</w:t>
      </w:r>
    </w:p>
    <w:p w14:paraId="6B8F2C63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100208221-722</w:t>
      </w:r>
    </w:p>
    <w:p w14:paraId="6EA6C1AE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Bogotá, D.C.</w:t>
      </w:r>
    </w:p>
    <w:p w14:paraId="0E6129D3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4"/>
        <w:gridCol w:w="283"/>
        <w:gridCol w:w="6094"/>
      </w:tblGrid>
      <w:tr w:rsidR="002234D8" w:rsidRPr="002234D8" w14:paraId="026976BE" w14:textId="77777777" w:rsidTr="002234D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2FA3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s-CO"/>
              </w:rPr>
              <w:t>Tema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64B98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D5B8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C2F7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  <w:t>Incentivos Tributarios</w:t>
            </w:r>
          </w:p>
        </w:tc>
      </w:tr>
      <w:tr w:rsidR="002234D8" w:rsidRPr="002234D8" w14:paraId="4C59A402" w14:textId="77777777" w:rsidTr="002234D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17EA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s-CO"/>
              </w:rPr>
              <w:t>Descriptores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2B06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6CCF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0FCB2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  <w:t>Incentivos tributarios para el retorno de colombianos residentes en el extranjero</w:t>
            </w:r>
          </w:p>
          <w:p w14:paraId="710AF4AE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  <w:t>Incentivos tributarios para el retorno de colombianos que vivan en el extranjero</w:t>
            </w:r>
          </w:p>
        </w:tc>
      </w:tr>
      <w:tr w:rsidR="002234D8" w:rsidRPr="002234D8" w14:paraId="43B2E95F" w14:textId="77777777" w:rsidTr="002234D8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B0AD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Fuentes formales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7AF6B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17C28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6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4CDAA" w14:textId="77777777" w:rsidR="002234D8" w:rsidRPr="002234D8" w:rsidRDefault="002234D8" w:rsidP="00367F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234D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Ley 1565 de 2012 y el Decreto 1000 de 2013</w:t>
            </w:r>
          </w:p>
        </w:tc>
      </w:tr>
    </w:tbl>
    <w:p w14:paraId="41AFA9AB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0B0CDBE4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075C7A58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01CE4482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126EE17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highlight w:val="green"/>
          <w:lang w:eastAsia="es-CO"/>
        </w:rPr>
        <w:t>En la consulta de la referencia, la peticionaria consulta acerca de la aplicación de la Ley 1565 de 2012, planteando la siguiente pregunta:</w:t>
      </w:r>
    </w:p>
    <w:p w14:paraId="2D88D169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t> </w:t>
      </w:r>
    </w:p>
    <w:p w14:paraId="74D66695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t>“¿Cada connacional puede aplicar individualmente como beneficiario de la Ley a pesar de ser pareja? Específicamente quisieran saber si pueden aplicar por separado con el propósito de “monetizar cada uno este valor sin lugar a impuestos”.</w:t>
      </w:r>
    </w:p>
    <w:p w14:paraId="602A603B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54BAAC3F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Para empezar, se precisa que la Ley 1565 de 2012, tiene como objeto: </w:t>
      </w:r>
      <w:r w:rsidRPr="00367F22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t>“Crear incentivos de carácter aduanero, tributario y financiero concernientes al retorno de los colombianos, y brindar un acompañamiento integral a aquellos colombianos que voluntariamente desean retornar al país”, </w:t>
      </w:r>
      <w:r w:rsidRPr="00367F22">
        <w:rPr>
          <w:rFonts w:ascii="Times New Roman" w:eastAsia="Times New Roman" w:hAnsi="Times New Roman" w:cs="Times New Roman"/>
          <w:sz w:val="24"/>
          <w:szCs w:val="24"/>
          <w:highlight w:val="green"/>
          <w:lang w:eastAsia="es-CO"/>
        </w:rPr>
        <w:t>de igual manera esta fue reglamentada por el Decreto 1000 de 2013.</w:t>
      </w:r>
    </w:p>
    <w:p w14:paraId="186ECD8C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DD03379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De modo que, el artículo 5 de la ley en cita, dispone como incentivos en materia tributaria, los siguientes:</w:t>
      </w:r>
    </w:p>
    <w:p w14:paraId="67538AF6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 </w:t>
      </w:r>
    </w:p>
    <w:p w14:paraId="0B06EFB0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64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  <w:lang w:eastAsia="es-CO"/>
        </w:rPr>
        <w:lastRenderedPageBreak/>
        <w:t>ARTÍCULO 5. INCENTIVOS TRIBUTARIOS.</w:t>
      </w:r>
      <w:r w:rsidRPr="00D64908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t> Los que se acojan y cumplan con los requisitos señalados en el artículo 2, quedarán exentos del pago de todo tributo y de los derechos de importación que graven el ingreso al país de los siguientes bienes:</w:t>
      </w:r>
    </w:p>
    <w:p w14:paraId="2425F121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 </w:t>
      </w:r>
    </w:p>
    <w:p w14:paraId="5EA04FAF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a) Menaje de casa hasta dos mil cuatrocientas Unidades de Valor Tributario (2.400 UVT);</w:t>
      </w:r>
    </w:p>
    <w:p w14:paraId="471DDE77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b) Instrumentos profesionales, maquinarias, equipos, bienes de capital, y demás bienes excepto vehículos, que usen en el desempeño de su profesión, oficio o actividad empresarial, hasta diecisiete mil ciento treinta Unidades de Valor Tributario (17.130 UVT), siempre que sean destinados al desarrollo de su profesión en Colombia;</w:t>
      </w:r>
    </w:p>
    <w:p w14:paraId="5FEC58AA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 </w:t>
      </w:r>
    </w:p>
    <w:p w14:paraId="09125F02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c) La monetización producto de la venta de bienes y activos ganados por concepto de trabajo o prestación de servicios en el país de residencia, con la debida acreditación de su origen lícito y cumpliendo con las formalidades del país receptor.</w:t>
      </w:r>
    </w:p>
    <w:p w14:paraId="20D37CC3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 </w:t>
      </w:r>
    </w:p>
    <w:p w14:paraId="6C65FEAF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En este caso no se causa el gravamen a los movimientos financieros. La cuantía a exonerar no deberá ser mayor a treinta y cuatro mil doscientos sesenta y dos Unidades de Valor Tributario (34.262 UVT) los cuales deben entrar al país previa certificación de proveniencia y ser tramitados a través de una entidad financiera que solo cobrará sus costos de intermediación.</w:t>
      </w:r>
    </w:p>
    <w:p w14:paraId="1FE8621B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 </w:t>
      </w:r>
    </w:p>
    <w:p w14:paraId="31087A41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D649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  <w:lang w:eastAsia="es-CO"/>
        </w:rPr>
        <w:t>PARÁGRAFO 1.</w:t>
      </w:r>
      <w:r w:rsidRPr="00D64908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t> Si el valor de los bienes importados al país excede el monto exonerado, se cancelarán los tributos diferenciales.</w:t>
      </w:r>
    </w:p>
    <w:p w14:paraId="2D46DE4A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 </w:t>
      </w:r>
    </w:p>
    <w:p w14:paraId="12CA8C16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CO"/>
        </w:rPr>
        <w:t>PARÁGRAFO 2.</w:t>
      </w: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 Quedan excluidas de las maquinarias, equipos y bienes de capital mencionados en el literal b) del presente artículo las siguientes partidas y subpartidas arancelarias, sin perjuicio de la obtención del registro o licencia de importación cuando sea obligatorio de conformidad con las normas vigentes: 8426.26.20.00 8426.30.00.00, 8426.99.20.00 8429, 8430 (excepto 8430.20.00.00), 8479.10.00.00, 8704.10.00.10, 8705.20.00.00, 8705.40.00.00”.</w:t>
      </w:r>
    </w:p>
    <w:p w14:paraId="7F6CDB3D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0E23BCA8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Así mismo, el artículo 2 de la Ley 1565 de 2012 dispone como requisitos para acceder a los incentivos en ella previstos, los siguientes:</w:t>
      </w:r>
    </w:p>
    <w:p w14:paraId="0C093880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i/>
          <w:iCs/>
          <w:sz w:val="24"/>
          <w:szCs w:val="24"/>
          <w:lang w:eastAsia="es-CO"/>
        </w:rPr>
        <w:t> </w:t>
      </w:r>
    </w:p>
    <w:p w14:paraId="58C93434" w14:textId="77777777" w:rsidR="002234D8" w:rsidRPr="00367F22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es-CO"/>
        </w:rPr>
      </w:pPr>
      <w:r w:rsidRPr="00367F22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t>“</w:t>
      </w:r>
      <w:r w:rsidRPr="00367F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  <w:lang w:eastAsia="es-CO"/>
        </w:rPr>
        <w:t>ARTÍCULO 2. REQUISITOS.</w:t>
      </w:r>
      <w:r w:rsidRPr="00367F22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t> Los colombianos que viven en el extranjero, podrán acogerse por una sola vez, a lo dispuesto en la presente ley, siempre y cuando cumplan los siguientes requisitos:</w:t>
      </w:r>
    </w:p>
    <w:p w14:paraId="39E4A773" w14:textId="77777777" w:rsidR="002234D8" w:rsidRPr="00367F22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es-CO"/>
        </w:rPr>
      </w:pPr>
      <w:r w:rsidRPr="00367F22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t> </w:t>
      </w:r>
    </w:p>
    <w:p w14:paraId="13F8CA96" w14:textId="77777777" w:rsidR="002234D8" w:rsidRPr="00367F22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es-CO"/>
        </w:rPr>
      </w:pPr>
      <w:r w:rsidRPr="00367F22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t>a) Acreditar que ha permanecido en el extranjero por lo menos tres (3) años para acogerse a los beneficios de la presente ley. El Gobierno Nacional lo reglamentará en un término máximo de 2 meses;</w:t>
      </w:r>
    </w:p>
    <w:p w14:paraId="4A808DDF" w14:textId="77777777" w:rsidR="002234D8" w:rsidRPr="00367F22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es-CO"/>
        </w:rPr>
      </w:pPr>
      <w:r w:rsidRPr="00367F22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t> </w:t>
      </w:r>
    </w:p>
    <w:p w14:paraId="40CF7263" w14:textId="77777777" w:rsidR="002234D8" w:rsidRPr="00367F22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es-CO"/>
        </w:rPr>
      </w:pPr>
      <w:r w:rsidRPr="00367F22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lastRenderedPageBreak/>
        <w:t>b) Manifestar por escrito a la autoridad competente, su interés de retornar al país y acogerse a la presente ley;</w:t>
      </w:r>
    </w:p>
    <w:p w14:paraId="716419A7" w14:textId="77777777" w:rsidR="002234D8" w:rsidRPr="00367F22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es-CO"/>
        </w:rPr>
      </w:pPr>
      <w:r w:rsidRPr="00367F22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t> </w:t>
      </w:r>
    </w:p>
    <w:p w14:paraId="283905C5" w14:textId="77777777" w:rsidR="002234D8" w:rsidRPr="002234D8" w:rsidRDefault="002234D8" w:rsidP="00367F2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67F22">
        <w:rPr>
          <w:rFonts w:ascii="Times New Roman" w:eastAsia="Times New Roman" w:hAnsi="Times New Roman" w:cs="Times New Roman"/>
          <w:i/>
          <w:iCs/>
          <w:sz w:val="24"/>
          <w:szCs w:val="24"/>
          <w:highlight w:val="green"/>
          <w:lang w:eastAsia="es-CO"/>
        </w:rPr>
        <w:t>c) Ser mayor de edad”.</w:t>
      </w:r>
    </w:p>
    <w:p w14:paraId="2E9F11D6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77C0C38" w14:textId="77777777" w:rsidR="002234D8" w:rsidRPr="00367F22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367F22">
        <w:rPr>
          <w:rFonts w:ascii="Times New Roman" w:eastAsia="Times New Roman" w:hAnsi="Times New Roman" w:cs="Times New Roman"/>
          <w:sz w:val="36"/>
          <w:szCs w:val="36"/>
          <w:lang w:eastAsia="es-CO"/>
        </w:rPr>
        <w:t>Teniendo en cuenta lo anterior, y toda vez que la norma no prevé un tratamiento o limitación especial para los cónyuges o compañeros permanentes, no es viable al intérprete restringir el alcance de estos incentivos. Por lo tanto, </w:t>
      </w:r>
      <w:r w:rsidRPr="00367F2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CO"/>
        </w:rPr>
        <w:t xml:space="preserve">deberá entenderse que la aplicación de los requisitos para el acceso a los mismos es </w:t>
      </w:r>
      <w:r w:rsidRPr="00367F22">
        <w:rPr>
          <w:rFonts w:ascii="Times New Roman" w:eastAsia="Times New Roman" w:hAnsi="Times New Roman" w:cs="Times New Roman"/>
          <w:b/>
          <w:bCs/>
          <w:sz w:val="36"/>
          <w:szCs w:val="36"/>
          <w:highlight w:val="yellow"/>
          <w:u w:val="single"/>
          <w:lang w:eastAsia="es-CO"/>
        </w:rPr>
        <w:t>de manera individual</w:t>
      </w:r>
      <w:r w:rsidRPr="00367F22">
        <w:rPr>
          <w:rFonts w:ascii="Times New Roman" w:eastAsia="Times New Roman" w:hAnsi="Times New Roman" w:cs="Times New Roman"/>
          <w:sz w:val="36"/>
          <w:szCs w:val="36"/>
          <w:highlight w:val="yellow"/>
          <w:u w:val="single"/>
          <w:lang w:eastAsia="es-CO"/>
        </w:rPr>
        <w:t>.</w:t>
      </w:r>
    </w:p>
    <w:p w14:paraId="5CED9323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1329AE8" w14:textId="77777777" w:rsidR="002234D8" w:rsidRPr="00367F22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367F22">
        <w:rPr>
          <w:rFonts w:ascii="Times New Roman" w:eastAsia="Times New Roman" w:hAnsi="Times New Roman" w:cs="Times New Roman"/>
          <w:sz w:val="36"/>
          <w:szCs w:val="36"/>
          <w:lang w:eastAsia="es-CO"/>
        </w:rPr>
        <w:t>En consecuencia, los incentivos tributarios podrán aplicarse individualmente por cada cónyuge o compañero permanente colombiano residente en el extranjero que pretenda acogerse a ellos, </w:t>
      </w:r>
      <w:r w:rsidRPr="00367F2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CO"/>
        </w:rPr>
        <w:t>siempre y cuando cada uno de ellos cumpla los requisitos y condiciones previstos en la Ley 1565 de 2012 y el Decreto 1000 de 2013</w:t>
      </w:r>
      <w:r w:rsidRPr="00367F22">
        <w:rPr>
          <w:rFonts w:ascii="Times New Roman" w:eastAsia="Times New Roman" w:hAnsi="Times New Roman" w:cs="Times New Roman"/>
          <w:sz w:val="36"/>
          <w:szCs w:val="36"/>
          <w:u w:val="single"/>
          <w:lang w:eastAsia="es-CO"/>
        </w:rPr>
        <w:t>.</w:t>
      </w:r>
    </w:p>
    <w:p w14:paraId="2D6D6D0E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07F3A551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Atentamente,</w:t>
      </w:r>
    </w:p>
    <w:p w14:paraId="2919B851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</w:t>
      </w:r>
    </w:p>
    <w:p w14:paraId="5AC0D57D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 </w:t>
      </w:r>
    </w:p>
    <w:p w14:paraId="32CB02FD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b/>
          <w:bCs/>
          <w:sz w:val="24"/>
          <w:szCs w:val="24"/>
          <w:lang w:eastAsia="es-CO"/>
        </w:rPr>
        <w:t>PABLO EMILIO MENDOZA VELILLA</w:t>
      </w:r>
    </w:p>
    <w:p w14:paraId="313E70F0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Subdirector de Gestión Normativa y Doctrina</w:t>
      </w:r>
    </w:p>
    <w:p w14:paraId="437F7689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Dirección de Gestión Jurídica</w:t>
      </w:r>
    </w:p>
    <w:p w14:paraId="0BF34D53" w14:textId="77777777" w:rsidR="002234D8" w:rsidRPr="002234D8" w:rsidRDefault="002234D8" w:rsidP="0036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2234D8">
        <w:rPr>
          <w:rFonts w:ascii="Times New Roman" w:eastAsia="Times New Roman" w:hAnsi="Times New Roman" w:cs="Times New Roman"/>
          <w:sz w:val="24"/>
          <w:szCs w:val="24"/>
          <w:lang w:eastAsia="es-CO"/>
        </w:rPr>
        <w:t>UAE-DIAN</w:t>
      </w:r>
    </w:p>
    <w:p w14:paraId="024895DC" w14:textId="77777777" w:rsidR="007F5CC8" w:rsidRPr="002234D8" w:rsidRDefault="007F5CC8" w:rsidP="00367F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F5CC8" w:rsidRPr="002234D8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D8"/>
    <w:rsid w:val="000F3837"/>
    <w:rsid w:val="001E311E"/>
    <w:rsid w:val="002234D8"/>
    <w:rsid w:val="00367F22"/>
    <w:rsid w:val="00434AE6"/>
    <w:rsid w:val="007F5CC8"/>
    <w:rsid w:val="008779BE"/>
    <w:rsid w:val="00D64908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53B3"/>
  <w15:chartTrackingRefBased/>
  <w15:docId w15:val="{5D2C50C7-7687-4E23-B836-4E824016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788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4</cp:revision>
  <dcterms:created xsi:type="dcterms:W3CDTF">2020-08-05T12:29:00Z</dcterms:created>
  <dcterms:modified xsi:type="dcterms:W3CDTF">2020-09-01T01:54:00Z</dcterms:modified>
</cp:coreProperties>
</file>