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CEF0" w14:textId="77777777" w:rsidR="002845A8" w:rsidRPr="002845A8" w:rsidRDefault="002845A8" w:rsidP="002845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 xml:space="preserve">OFICIO </w:t>
      </w:r>
      <w:proofErr w:type="spellStart"/>
      <w:r w:rsidRPr="002845A8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>Nº</w:t>
      </w:r>
      <w:proofErr w:type="spellEnd"/>
      <w:r w:rsidRPr="002845A8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 xml:space="preserve"> 412 [901069]</w:t>
      </w:r>
    </w:p>
    <w:p w14:paraId="1549BF88" w14:textId="77777777" w:rsidR="002845A8" w:rsidRPr="002845A8" w:rsidRDefault="002845A8" w:rsidP="002845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>08-11-2021</w:t>
      </w:r>
    </w:p>
    <w:p w14:paraId="49457EED" w14:textId="77777777" w:rsidR="002845A8" w:rsidRPr="002845A8" w:rsidRDefault="002845A8" w:rsidP="002845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>DIAN</w:t>
      </w:r>
    </w:p>
    <w:p w14:paraId="0A231E9F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005A690C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277C9613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Subdirección de Normativa y Doctrina</w:t>
      </w:r>
    </w:p>
    <w:p w14:paraId="719630E4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100208192-412</w:t>
      </w:r>
    </w:p>
    <w:p w14:paraId="29DE88D3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Bogotá, D.C.</w:t>
      </w:r>
    </w:p>
    <w:p w14:paraId="5933D301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3432AABA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b/>
          <w:bCs/>
          <w:sz w:val="22"/>
          <w:lang w:eastAsia="es-CO"/>
        </w:rPr>
        <w:t>Tema:</w:t>
      </w:r>
      <w:r w:rsidRPr="002845A8">
        <w:rPr>
          <w:rFonts w:ascii="Segoe UI" w:eastAsia="Times New Roman" w:hAnsi="Segoe UI" w:cs="Segoe UI"/>
          <w:sz w:val="22"/>
          <w:lang w:eastAsia="es-CO"/>
        </w:rPr>
        <w:t> Procedimiento tributario</w:t>
      </w:r>
    </w:p>
    <w:p w14:paraId="16CC617D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b/>
          <w:bCs/>
          <w:sz w:val="22"/>
          <w:lang w:eastAsia="es-CO"/>
        </w:rPr>
        <w:t>Descriptores:</w:t>
      </w:r>
      <w:r w:rsidRPr="002845A8">
        <w:rPr>
          <w:rFonts w:ascii="Segoe UI" w:eastAsia="Times New Roman" w:hAnsi="Segoe UI" w:cs="Segoe UI"/>
          <w:sz w:val="22"/>
          <w:lang w:eastAsia="es-CO"/>
        </w:rPr>
        <w:t> Notificación electrónica</w:t>
      </w:r>
    </w:p>
    <w:p w14:paraId="39C4A990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b/>
          <w:bCs/>
          <w:sz w:val="22"/>
          <w:lang w:eastAsia="es-CO"/>
        </w:rPr>
        <w:t>Fuentes formales:</w:t>
      </w:r>
      <w:r w:rsidRPr="002845A8">
        <w:rPr>
          <w:rFonts w:ascii="Segoe UI" w:eastAsia="Times New Roman" w:hAnsi="Segoe UI" w:cs="Segoe UI"/>
          <w:sz w:val="22"/>
          <w:lang w:eastAsia="es-CO"/>
        </w:rPr>
        <w:t> Artículos </w:t>
      </w:r>
      <w:hyperlink r:id="rId4" w:tooltip="Estatuto Tributario CETA" w:history="1">
        <w:r w:rsidRPr="002845A8">
          <w:rPr>
            <w:rFonts w:ascii="Segoe UI" w:eastAsia="Times New Roman" w:hAnsi="Segoe UI" w:cs="Segoe UI"/>
            <w:color w:val="0089E1"/>
            <w:sz w:val="22"/>
            <w:lang w:eastAsia="es-CO"/>
          </w:rPr>
          <w:t>565</w:t>
        </w:r>
      </w:hyperlink>
      <w:r w:rsidRPr="002845A8">
        <w:rPr>
          <w:rFonts w:ascii="Segoe UI" w:eastAsia="Times New Roman" w:hAnsi="Segoe UI" w:cs="Segoe UI"/>
          <w:sz w:val="22"/>
          <w:lang w:eastAsia="es-CO"/>
        </w:rPr>
        <w:t>, </w:t>
      </w:r>
      <w:hyperlink r:id="rId5" w:tooltip="Estatuto Tributario CETA" w:history="1">
        <w:r w:rsidRPr="002845A8">
          <w:rPr>
            <w:rFonts w:ascii="Segoe UI" w:eastAsia="Times New Roman" w:hAnsi="Segoe UI" w:cs="Segoe UI"/>
            <w:color w:val="0089E1"/>
            <w:sz w:val="22"/>
            <w:lang w:eastAsia="es-CO"/>
          </w:rPr>
          <w:t>566-1</w:t>
        </w:r>
      </w:hyperlink>
      <w:r w:rsidRPr="002845A8">
        <w:rPr>
          <w:rFonts w:ascii="Segoe UI" w:eastAsia="Times New Roman" w:hAnsi="Segoe UI" w:cs="Segoe UI"/>
          <w:sz w:val="22"/>
          <w:lang w:eastAsia="es-CO"/>
        </w:rPr>
        <w:t> y </w:t>
      </w:r>
      <w:hyperlink r:id="rId6" w:tooltip="Estatuto Tributario CETA" w:history="1">
        <w:r w:rsidRPr="002845A8">
          <w:rPr>
            <w:rFonts w:ascii="Segoe UI" w:eastAsia="Times New Roman" w:hAnsi="Segoe UI" w:cs="Segoe UI"/>
            <w:color w:val="0089E1"/>
            <w:sz w:val="22"/>
            <w:lang w:eastAsia="es-CO"/>
          </w:rPr>
          <w:t>857</w:t>
        </w:r>
      </w:hyperlink>
      <w:r w:rsidRPr="002845A8">
        <w:rPr>
          <w:rFonts w:ascii="Segoe UI" w:eastAsia="Times New Roman" w:hAnsi="Segoe UI" w:cs="Segoe UI"/>
          <w:sz w:val="22"/>
          <w:lang w:eastAsia="es-CO"/>
        </w:rPr>
        <w:t> del Estatuto Tributario</w:t>
      </w:r>
    </w:p>
    <w:p w14:paraId="48A9D925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36FC467F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Cordial saludo,</w:t>
      </w:r>
    </w:p>
    <w:p w14:paraId="072938C0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5372E395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De conformidad con el artículo 56 del Decreto 1742 del 2020, este Despacho está facultado para absolver las consultas escritas, presentadas de manera general, que se formulen sobre interpretación y aplicación de las normas tributarias, aduaneras y de fiscalización cambiaria, en lo de competencia de la DIAN.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7991B00E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651BFCA0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Mediante el radicado de la referencia, el peticionario consulta:</w:t>
      </w:r>
    </w:p>
    <w:p w14:paraId="7DB7638F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</w:p>
    <w:p w14:paraId="7F735231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¿Tiene aplicación el término de cinco (5) días previsto en el </w:t>
      </w:r>
      <w:hyperlink r:id="rId7" w:tooltip="Estatuto Tributario CETA" w:history="1">
        <w:r w:rsidRPr="002845A8">
          <w:rPr>
            <w:rFonts w:ascii="Segoe UI" w:eastAsia="Times New Roman" w:hAnsi="Segoe UI" w:cs="Segoe UI"/>
            <w:i/>
            <w:iCs/>
            <w:color w:val="0089E1"/>
            <w:sz w:val="22"/>
            <w:lang w:eastAsia="es-CO"/>
          </w:rPr>
          <w:t>artículo 566-1</w:t>
        </w:r>
      </w:hyperlink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 xml:space="preserve"> del Estatuto Tributario cuando se notifica electrónicamente un auto </w:t>
      </w:r>
      <w:proofErr w:type="spellStart"/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inadmisorio</w:t>
      </w:r>
      <w:proofErr w:type="spellEnd"/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 xml:space="preserve"> de una solicitud de devolución o compensación?</w:t>
      </w:r>
    </w:p>
    <w:p w14:paraId="06251BB7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58A4DCF9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Sobre el particular, las consideraciones de este Despacho son las siguientes:</w:t>
      </w:r>
    </w:p>
    <w:p w14:paraId="47BE1DB7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6386C67A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En cuanto a la notificación electrónica, el </w:t>
      </w:r>
      <w:hyperlink r:id="rId8" w:tooltip="Estatuto Tributario CETA" w:history="1">
        <w:r w:rsidRPr="002845A8">
          <w:rPr>
            <w:rFonts w:ascii="Segoe UI" w:eastAsia="Times New Roman" w:hAnsi="Segoe UI" w:cs="Segoe UI"/>
            <w:color w:val="0089E1"/>
            <w:sz w:val="22"/>
            <w:lang w:eastAsia="es-CO"/>
          </w:rPr>
          <w:t>artículo 565</w:t>
        </w:r>
      </w:hyperlink>
      <w:r w:rsidRPr="002845A8">
        <w:rPr>
          <w:rFonts w:ascii="Segoe UI" w:eastAsia="Times New Roman" w:hAnsi="Segoe UI" w:cs="Segoe UI"/>
          <w:sz w:val="22"/>
          <w:lang w:eastAsia="es-CO"/>
        </w:rPr>
        <w:t> del Estatuto Tributario señala:</w:t>
      </w:r>
    </w:p>
    <w:p w14:paraId="44791DB9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 </w:t>
      </w:r>
    </w:p>
    <w:p w14:paraId="75760F28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“</w:t>
      </w:r>
      <w:hyperlink r:id="rId9" w:tooltip="Estatuto Tributario CETA" w:history="1">
        <w:r w:rsidRPr="002845A8">
          <w:rPr>
            <w:rFonts w:ascii="Segoe UI" w:eastAsia="Times New Roman" w:hAnsi="Segoe UI" w:cs="Segoe UI"/>
            <w:b/>
            <w:bCs/>
            <w:i/>
            <w:iCs/>
            <w:color w:val="0089E1"/>
            <w:sz w:val="18"/>
            <w:szCs w:val="18"/>
            <w:lang w:eastAsia="es-CO"/>
          </w:rPr>
          <w:t>Artículo 565</w:t>
        </w:r>
      </w:hyperlink>
      <w:r w:rsidRPr="002845A8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eastAsia="es-CO"/>
        </w:rPr>
        <w:t>. FORMAS DE NOTIFICACIÓN DE LAS ACTUACIONES DE LA ADMINISTRACIÓN TRIBUTARIA</w:t>
      </w:r>
      <w:r w:rsidRPr="002845A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. Los requerimientos, autos que ordenen inspecciones o verificaciones tributarias, emplazamientos, citaciones, resoluciones en que se impongan sanciones, liquidaciones oficiales y </w:t>
      </w:r>
      <w:r w:rsidRPr="002845A8">
        <w:rPr>
          <w:rFonts w:ascii="Segoe UI" w:eastAsia="Times New Roman" w:hAnsi="Segoe UI" w:cs="Segoe UI"/>
          <w:i/>
          <w:iCs/>
          <w:color w:val="000000"/>
          <w:sz w:val="18"/>
          <w:szCs w:val="18"/>
          <w:u w:val="single"/>
          <w:lang w:eastAsia="es-CO"/>
        </w:rPr>
        <w:t>demás actuaciones administrativas, deben notificarse de manera electrónica</w:t>
      </w:r>
      <w:r w:rsidRPr="002845A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, personalmente o a través de la red oficial de correos o de cualquier servicio de mensajería especializada debidamente autorizada por la autoridad competente”. </w:t>
      </w:r>
      <w:r w:rsidRPr="002845A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(Subrayado fuera de texto)</w:t>
      </w:r>
      <w:r w:rsidRPr="002845A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.</w:t>
      </w:r>
    </w:p>
    <w:p w14:paraId="4D306046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53EA4940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El </w:t>
      </w:r>
      <w:hyperlink r:id="rId10" w:tooltip="Estatuto Tributario CETA" w:history="1">
        <w:r w:rsidRPr="002845A8">
          <w:rPr>
            <w:rFonts w:ascii="Segoe UI" w:eastAsia="Times New Roman" w:hAnsi="Segoe UI" w:cs="Segoe UI"/>
            <w:color w:val="0089E1"/>
            <w:sz w:val="22"/>
            <w:lang w:eastAsia="es-CO"/>
          </w:rPr>
          <w:t>artículo 566-1</w:t>
        </w:r>
      </w:hyperlink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  <w:proofErr w:type="spellStart"/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ibídem</w:t>
      </w:r>
      <w:proofErr w:type="spellEnd"/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  <w:r w:rsidRPr="002845A8">
        <w:rPr>
          <w:rFonts w:ascii="Segoe UI" w:eastAsia="Times New Roman" w:hAnsi="Segoe UI" w:cs="Segoe UI"/>
          <w:sz w:val="22"/>
          <w:lang w:eastAsia="es-CO"/>
        </w:rPr>
        <w:t>establece a su vez:</w:t>
      </w:r>
    </w:p>
    <w:p w14:paraId="5E0904B3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</w:p>
    <w:p w14:paraId="1B0628D0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“</w:t>
      </w:r>
      <w:hyperlink r:id="rId11" w:tooltip="Estatuto Tributario CETA" w:history="1">
        <w:r w:rsidRPr="002845A8">
          <w:rPr>
            <w:rFonts w:ascii="Segoe UI" w:eastAsia="Times New Roman" w:hAnsi="Segoe UI" w:cs="Segoe UI"/>
            <w:b/>
            <w:bCs/>
            <w:i/>
            <w:iCs/>
            <w:color w:val="0089E1"/>
            <w:sz w:val="22"/>
            <w:lang w:eastAsia="es-CO"/>
          </w:rPr>
          <w:t>ARTÍCULO 566-1</w:t>
        </w:r>
      </w:hyperlink>
      <w:r w:rsidRPr="002845A8">
        <w:rPr>
          <w:rFonts w:ascii="Segoe UI" w:eastAsia="Times New Roman" w:hAnsi="Segoe UI" w:cs="Segoe UI"/>
          <w:b/>
          <w:bCs/>
          <w:i/>
          <w:iCs/>
          <w:sz w:val="22"/>
          <w:lang w:eastAsia="es-CO"/>
        </w:rPr>
        <w:t>. NOTIFICACIÓN ELECTRÓNICA</w:t>
      </w: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. &lt;Artículo modificado por el artículo 105 de la Ley 2010 de 2019. El nuevo texto es el siguiente:&gt; Es la forma de notificación que se surte de manera electrónica a través de la cual la Dirección de Impuestos y Aduanas Nacionales (DIAN) </w:t>
      </w:r>
      <w:r w:rsidRPr="002845A8">
        <w:rPr>
          <w:rFonts w:ascii="Segoe UI" w:eastAsia="Times New Roman" w:hAnsi="Segoe UI" w:cs="Segoe UI"/>
          <w:i/>
          <w:iCs/>
          <w:sz w:val="22"/>
          <w:u w:val="single"/>
          <w:lang w:eastAsia="es-CO"/>
        </w:rPr>
        <w:t>pone en conocimiento de los administrados los actos administrativos de que trata el </w:t>
      </w:r>
      <w:hyperlink r:id="rId12" w:tooltip="Estatuto Tributario CETA" w:history="1">
        <w:r w:rsidRPr="002845A8">
          <w:rPr>
            <w:rFonts w:ascii="Segoe UI" w:eastAsia="Times New Roman" w:hAnsi="Segoe UI" w:cs="Segoe UI"/>
            <w:i/>
            <w:iCs/>
            <w:color w:val="0089E1"/>
            <w:sz w:val="22"/>
            <w:lang w:eastAsia="es-CO"/>
          </w:rPr>
          <w:t>artículo 565</w:t>
        </w:r>
      </w:hyperlink>
      <w:r w:rsidRPr="002845A8">
        <w:rPr>
          <w:rFonts w:ascii="Segoe UI" w:eastAsia="Times New Roman" w:hAnsi="Segoe UI" w:cs="Segoe UI"/>
          <w:i/>
          <w:iCs/>
          <w:sz w:val="22"/>
          <w:u w:val="single"/>
          <w:lang w:eastAsia="es-CO"/>
        </w:rPr>
        <w:t> del Estatuto Tributario, incluidos los que se profieran en el proceso de cobro.</w:t>
      </w:r>
    </w:p>
    <w:p w14:paraId="5658689C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</w:p>
    <w:p w14:paraId="18B21997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(…)”. </w:t>
      </w:r>
      <w:r w:rsidRPr="002845A8">
        <w:rPr>
          <w:rFonts w:ascii="Segoe UI" w:eastAsia="Times New Roman" w:hAnsi="Segoe UI" w:cs="Segoe UI"/>
          <w:sz w:val="22"/>
          <w:lang w:eastAsia="es-CO"/>
        </w:rPr>
        <w:t>(Subrayado fuera de texto).</w:t>
      </w:r>
    </w:p>
    <w:p w14:paraId="038C856F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40E7A30E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 xml:space="preserve">De modo que, no cabe duda sobre la procedencia de la notificación electrónica en lo que respecta al auto </w:t>
      </w:r>
      <w:proofErr w:type="spellStart"/>
      <w:r w:rsidRPr="002845A8">
        <w:rPr>
          <w:rFonts w:ascii="Segoe UI" w:eastAsia="Times New Roman" w:hAnsi="Segoe UI" w:cs="Segoe UI"/>
          <w:sz w:val="22"/>
          <w:lang w:eastAsia="es-CO"/>
        </w:rPr>
        <w:t>inadmisorio</w:t>
      </w:r>
      <w:proofErr w:type="spellEnd"/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sub examine</w:t>
      </w:r>
      <w:r w:rsidRPr="002845A8">
        <w:rPr>
          <w:rFonts w:ascii="Segoe UI" w:eastAsia="Times New Roman" w:hAnsi="Segoe UI" w:cs="Segoe UI"/>
          <w:sz w:val="22"/>
          <w:lang w:eastAsia="es-CO"/>
        </w:rPr>
        <w:t>.</w:t>
      </w:r>
    </w:p>
    <w:p w14:paraId="11671E9D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3C0E2E4C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De otra parte, el mismo </w:t>
      </w:r>
      <w:hyperlink r:id="rId13" w:tooltip="Estatuto Tributario CETA" w:history="1">
        <w:r w:rsidRPr="002845A8">
          <w:rPr>
            <w:rFonts w:ascii="Segoe UI" w:eastAsia="Times New Roman" w:hAnsi="Segoe UI" w:cs="Segoe UI"/>
            <w:color w:val="0089E1"/>
            <w:sz w:val="22"/>
            <w:lang w:eastAsia="es-CO"/>
          </w:rPr>
          <w:t>artículo 566-1</w:t>
        </w:r>
      </w:hyperlink>
      <w:r w:rsidRPr="002845A8">
        <w:rPr>
          <w:rFonts w:ascii="Segoe UI" w:eastAsia="Times New Roman" w:hAnsi="Segoe UI" w:cs="Segoe UI"/>
          <w:sz w:val="22"/>
          <w:lang w:eastAsia="es-CO"/>
        </w:rPr>
        <w:t> dispone:</w:t>
      </w:r>
    </w:p>
    <w:p w14:paraId="0712FB78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</w:p>
    <w:p w14:paraId="7E45E69C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“(…) La notificación electrónica se entenderá surtida para todos los efectos legales, en la fecha del envío del acto administrativo en el correo electrónico autorizado; no obstante, </w:t>
      </w:r>
      <w:r w:rsidRPr="002845A8">
        <w:rPr>
          <w:rFonts w:ascii="Segoe UI" w:eastAsia="Times New Roman" w:hAnsi="Segoe UI" w:cs="Segoe UI"/>
          <w:i/>
          <w:iCs/>
          <w:sz w:val="22"/>
          <w:u w:val="single"/>
          <w:lang w:eastAsia="es-CO"/>
        </w:rPr>
        <w:t xml:space="preserve">los términos legales para el contribuyente, responsable, agente retenedor, declarante o su apoderado </w:t>
      </w:r>
      <w:r w:rsidRPr="002845A8">
        <w:rPr>
          <w:rFonts w:ascii="Segoe UI" w:eastAsia="Times New Roman" w:hAnsi="Segoe UI" w:cs="Segoe UI"/>
          <w:i/>
          <w:iCs/>
          <w:sz w:val="22"/>
          <w:u w:val="single"/>
          <w:lang w:eastAsia="es-CO"/>
        </w:rPr>
        <w:lastRenderedPageBreak/>
        <w:t>para </w:t>
      </w:r>
      <w:r w:rsidRPr="002845A8">
        <w:rPr>
          <w:rFonts w:ascii="Segoe UI" w:eastAsia="Times New Roman" w:hAnsi="Segoe UI" w:cs="Segoe UI"/>
          <w:b/>
          <w:bCs/>
          <w:i/>
          <w:iCs/>
          <w:sz w:val="22"/>
          <w:u w:val="single"/>
          <w:lang w:eastAsia="es-CO"/>
        </w:rPr>
        <w:t>responder </w:t>
      </w:r>
      <w:r w:rsidRPr="002845A8">
        <w:rPr>
          <w:rFonts w:ascii="Segoe UI" w:eastAsia="Times New Roman" w:hAnsi="Segoe UI" w:cs="Segoe UI"/>
          <w:i/>
          <w:iCs/>
          <w:sz w:val="22"/>
          <w:u w:val="single"/>
          <w:lang w:eastAsia="es-CO"/>
        </w:rPr>
        <w:t>o impugnar en sede administrativa, comenzarán a correr transcurridos cinco (5) días a partir de la entrega del correo electrónico</w:t>
      </w: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”. </w:t>
      </w:r>
      <w:r w:rsidRPr="002845A8">
        <w:rPr>
          <w:rFonts w:ascii="Segoe UI" w:eastAsia="Times New Roman" w:hAnsi="Segoe UI" w:cs="Segoe UI"/>
          <w:sz w:val="22"/>
          <w:lang w:eastAsia="es-CO"/>
        </w:rPr>
        <w:t>(Subrayado y negrilla fuera de texto).</w:t>
      </w:r>
    </w:p>
    <w:p w14:paraId="5AACDB77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346C5A8B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En cuanto al significado del verbo “responder”, en el Diccionario de la lengua española la Real Academia Española señala -entre varias opciones- que este consiste en </w:t>
      </w: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“Contestar algo para resolver lo que se pregunta o </w:t>
      </w:r>
      <w:r w:rsidRPr="002845A8">
        <w:rPr>
          <w:rFonts w:ascii="Segoe UI" w:eastAsia="Times New Roman" w:hAnsi="Segoe UI" w:cs="Segoe UI"/>
          <w:i/>
          <w:iCs/>
          <w:sz w:val="22"/>
          <w:u w:val="single"/>
          <w:lang w:eastAsia="es-CO"/>
        </w:rPr>
        <w:t>para atender una comunicación</w:t>
      </w: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” </w:t>
      </w:r>
      <w:r w:rsidRPr="002845A8">
        <w:rPr>
          <w:rFonts w:ascii="Segoe UI" w:eastAsia="Times New Roman" w:hAnsi="Segoe UI" w:cs="Segoe UI"/>
          <w:sz w:val="22"/>
          <w:lang w:eastAsia="es-CO"/>
        </w:rPr>
        <w:t>(subrayado fuera de texto). Asimismo, del término “respuesta” se exponen las siguientes acepciones:</w:t>
      </w:r>
    </w:p>
    <w:p w14:paraId="3BDA5911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</w:p>
    <w:p w14:paraId="4297C175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“(…)</w:t>
      </w:r>
    </w:p>
    <w:p w14:paraId="52E58F01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</w:p>
    <w:p w14:paraId="4BABE99C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3. f. </w:t>
      </w:r>
      <w:r w:rsidRPr="002845A8">
        <w:rPr>
          <w:rFonts w:ascii="Segoe UI" w:eastAsia="Times New Roman" w:hAnsi="Segoe UI" w:cs="Segoe UI"/>
          <w:i/>
          <w:iCs/>
          <w:sz w:val="22"/>
          <w:u w:val="single"/>
          <w:lang w:eastAsia="es-CO"/>
        </w:rPr>
        <w:t>Réplica</w:t>
      </w: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, refutación o contradicción de lo que alguien dice.</w:t>
      </w:r>
    </w:p>
    <w:p w14:paraId="1D2DF41E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</w:p>
    <w:p w14:paraId="06FAF2B3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4. f. </w:t>
      </w:r>
      <w:r w:rsidRPr="002845A8">
        <w:rPr>
          <w:rFonts w:ascii="Segoe UI" w:eastAsia="Times New Roman" w:hAnsi="Segoe UI" w:cs="Segoe UI"/>
          <w:i/>
          <w:iCs/>
          <w:sz w:val="22"/>
          <w:u w:val="single"/>
          <w:lang w:eastAsia="es-CO"/>
        </w:rPr>
        <w:t>Contestación a una carta</w:t>
      </w: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o billete.</w:t>
      </w:r>
    </w:p>
    <w:p w14:paraId="643D81A9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</w:p>
    <w:p w14:paraId="26A418EC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(…)</w:t>
      </w:r>
    </w:p>
    <w:p w14:paraId="005CD820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</w:p>
    <w:p w14:paraId="04DBF48F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6. f. </w:t>
      </w:r>
      <w:r w:rsidRPr="002845A8">
        <w:rPr>
          <w:rFonts w:ascii="Segoe UI" w:eastAsia="Times New Roman" w:hAnsi="Segoe UI" w:cs="Segoe UI"/>
          <w:i/>
          <w:iCs/>
          <w:sz w:val="22"/>
          <w:u w:val="single"/>
          <w:lang w:eastAsia="es-CO"/>
        </w:rPr>
        <w:t>Efecto que se pretende conseguir con una acción</w:t>
      </w: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”. </w:t>
      </w:r>
      <w:r w:rsidRPr="002845A8">
        <w:rPr>
          <w:rFonts w:ascii="Segoe UI" w:eastAsia="Times New Roman" w:hAnsi="Segoe UI" w:cs="Segoe UI"/>
          <w:sz w:val="22"/>
          <w:lang w:eastAsia="es-CO"/>
        </w:rPr>
        <w:t>(Subrayado fuera de texto).</w:t>
      </w:r>
    </w:p>
    <w:p w14:paraId="0541B685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4503C061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 xml:space="preserve">Ahora bien, en relación con el auto </w:t>
      </w:r>
      <w:proofErr w:type="spellStart"/>
      <w:r w:rsidRPr="002845A8">
        <w:rPr>
          <w:rFonts w:ascii="Segoe UI" w:eastAsia="Times New Roman" w:hAnsi="Segoe UI" w:cs="Segoe UI"/>
          <w:sz w:val="22"/>
          <w:lang w:eastAsia="es-CO"/>
        </w:rPr>
        <w:t>inadmisorio</w:t>
      </w:r>
      <w:proofErr w:type="spellEnd"/>
      <w:r w:rsidRPr="002845A8">
        <w:rPr>
          <w:rFonts w:ascii="Segoe UI" w:eastAsia="Times New Roman" w:hAnsi="Segoe UI" w:cs="Segoe UI"/>
          <w:sz w:val="22"/>
          <w:lang w:eastAsia="es-CO"/>
        </w:rPr>
        <w:t xml:space="preserve"> de la solicitud de devolución o compensación, el parágrafo 1° del </w:t>
      </w:r>
      <w:hyperlink r:id="rId14" w:tooltip="Estatuto Tributario CETA" w:history="1">
        <w:r w:rsidRPr="002845A8">
          <w:rPr>
            <w:rFonts w:ascii="Segoe UI" w:eastAsia="Times New Roman" w:hAnsi="Segoe UI" w:cs="Segoe UI"/>
            <w:color w:val="0089E1"/>
            <w:sz w:val="22"/>
            <w:lang w:eastAsia="es-CO"/>
          </w:rPr>
          <w:t>artículo 857</w:t>
        </w:r>
      </w:hyperlink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  <w:proofErr w:type="spellStart"/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ibídem</w:t>
      </w:r>
      <w:proofErr w:type="spellEnd"/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  <w:r w:rsidRPr="002845A8">
        <w:rPr>
          <w:rFonts w:ascii="Segoe UI" w:eastAsia="Times New Roman" w:hAnsi="Segoe UI" w:cs="Segoe UI"/>
          <w:sz w:val="22"/>
          <w:lang w:eastAsia="es-CO"/>
        </w:rPr>
        <w:t>indica:</w:t>
      </w:r>
    </w:p>
    <w:p w14:paraId="3BF81568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</w:p>
    <w:p w14:paraId="375A1D82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“</w:t>
      </w:r>
      <w:hyperlink r:id="rId15" w:tooltip="Estatuto Tributario CETA" w:history="1">
        <w:r w:rsidRPr="002845A8">
          <w:rPr>
            <w:rFonts w:ascii="Segoe UI" w:eastAsia="Times New Roman" w:hAnsi="Segoe UI" w:cs="Segoe UI"/>
            <w:b/>
            <w:bCs/>
            <w:i/>
            <w:iCs/>
            <w:color w:val="0089E1"/>
            <w:sz w:val="22"/>
            <w:lang w:eastAsia="es-CO"/>
          </w:rPr>
          <w:t>ARTÍCULO 857</w:t>
        </w:r>
      </w:hyperlink>
      <w:r w:rsidRPr="002845A8">
        <w:rPr>
          <w:rFonts w:ascii="Segoe UI" w:eastAsia="Times New Roman" w:hAnsi="Segoe UI" w:cs="Segoe UI"/>
          <w:b/>
          <w:bCs/>
          <w:i/>
          <w:iCs/>
          <w:sz w:val="22"/>
          <w:lang w:eastAsia="es-CO"/>
        </w:rPr>
        <w:t>. RECHAZO E INADMISIÓN DE LAS SOLICITUDES DE DEVOLUCIÓN O COMPENSACIÓN</w:t>
      </w: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. &lt;Artículo modificado por el artículo 141 de la Ley 223 de 1995. El nuevo texto es el siguiente&gt; (…)</w:t>
      </w:r>
    </w:p>
    <w:p w14:paraId="172ADF31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</w:p>
    <w:p w14:paraId="62C121E8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(…)</w:t>
      </w:r>
    </w:p>
    <w:p w14:paraId="263EA995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 </w:t>
      </w:r>
    </w:p>
    <w:p w14:paraId="4CFC8CF9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b/>
          <w:bCs/>
          <w:i/>
          <w:iCs/>
          <w:color w:val="000000"/>
          <w:sz w:val="18"/>
          <w:szCs w:val="18"/>
          <w:lang w:eastAsia="es-CO"/>
        </w:rPr>
        <w:t>PARÁGRAFO 1o.</w:t>
      </w:r>
      <w:r w:rsidRPr="002845A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 Cuando se inadmita la solicitud, </w:t>
      </w:r>
      <w:r w:rsidRPr="002845A8">
        <w:rPr>
          <w:rFonts w:ascii="Segoe UI" w:eastAsia="Times New Roman" w:hAnsi="Segoe UI" w:cs="Segoe UI"/>
          <w:i/>
          <w:iCs/>
          <w:color w:val="000000"/>
          <w:sz w:val="18"/>
          <w:szCs w:val="18"/>
          <w:u w:val="single"/>
          <w:lang w:eastAsia="es-CO"/>
        </w:rPr>
        <w:t>deberá presentarse dentro del mes siguiente una nueva solicitud</w:t>
      </w:r>
      <w:r w:rsidRPr="002845A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 en que </w:t>
      </w:r>
      <w:r w:rsidRPr="002845A8">
        <w:rPr>
          <w:rFonts w:ascii="Segoe UI" w:eastAsia="Times New Roman" w:hAnsi="Segoe UI" w:cs="Segoe UI"/>
          <w:i/>
          <w:iCs/>
          <w:color w:val="000000"/>
          <w:sz w:val="18"/>
          <w:szCs w:val="18"/>
          <w:u w:val="single"/>
          <w:lang w:eastAsia="es-CO"/>
        </w:rPr>
        <w:t>se subsanen las causales</w:t>
      </w:r>
      <w:r w:rsidRPr="002845A8">
        <w:rPr>
          <w:rFonts w:ascii="Segoe UI" w:eastAsia="Times New Roman" w:hAnsi="Segoe UI" w:cs="Segoe UI"/>
          <w:i/>
          <w:iCs/>
          <w:color w:val="000000"/>
          <w:sz w:val="18"/>
          <w:szCs w:val="18"/>
          <w:lang w:eastAsia="es-CO"/>
        </w:rPr>
        <w:t> que dieron lugar a su inadmisión.</w:t>
      </w:r>
    </w:p>
    <w:p w14:paraId="0FB9101D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</w:p>
    <w:p w14:paraId="49ABF257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Vencido el término para solicitar la devolución o compensación la nueva solicitud </w:t>
      </w:r>
      <w:r w:rsidRPr="002845A8">
        <w:rPr>
          <w:rFonts w:ascii="Segoe UI" w:eastAsia="Times New Roman" w:hAnsi="Segoe UI" w:cs="Segoe UI"/>
          <w:i/>
          <w:iCs/>
          <w:sz w:val="22"/>
          <w:u w:val="single"/>
          <w:lang w:eastAsia="es-CO"/>
        </w:rPr>
        <w:t>se entenderá presentada oportunamente, siempre y cuando su presentación se efectúe dentro del plazo señalado en el inciso anterior</w:t>
      </w: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.</w:t>
      </w:r>
    </w:p>
    <w:p w14:paraId="647CCA38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</w:p>
    <w:p w14:paraId="2266C5A6" w14:textId="77777777" w:rsidR="002845A8" w:rsidRPr="002845A8" w:rsidRDefault="002845A8" w:rsidP="002845A8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(…)”. </w:t>
      </w:r>
      <w:r w:rsidRPr="002845A8">
        <w:rPr>
          <w:rFonts w:ascii="Segoe UI" w:eastAsia="Times New Roman" w:hAnsi="Segoe UI" w:cs="Segoe UI"/>
          <w:sz w:val="22"/>
          <w:lang w:eastAsia="es-CO"/>
        </w:rPr>
        <w:t>(Subrayado fuera de texto).</w:t>
      </w:r>
    </w:p>
    <w:p w14:paraId="5BB93C15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6C42D61B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 xml:space="preserve">Así las cosas, aunque el auto </w:t>
      </w:r>
      <w:proofErr w:type="spellStart"/>
      <w:r w:rsidRPr="002845A8">
        <w:rPr>
          <w:rFonts w:ascii="Segoe UI" w:eastAsia="Times New Roman" w:hAnsi="Segoe UI" w:cs="Segoe UI"/>
          <w:sz w:val="22"/>
          <w:lang w:eastAsia="es-CO"/>
        </w:rPr>
        <w:t>inadmisorio</w:t>
      </w:r>
      <w:proofErr w:type="spellEnd"/>
      <w:r w:rsidRPr="002845A8">
        <w:rPr>
          <w:rFonts w:ascii="Segoe UI" w:eastAsia="Times New Roman" w:hAnsi="Segoe UI" w:cs="Segoe UI"/>
          <w:sz w:val="22"/>
          <w:lang w:eastAsia="es-CO"/>
        </w:rPr>
        <w:t xml:space="preserve"> en comento tiene la calidad de un acto administrativo de trámite (cfr. Oficio </w:t>
      </w:r>
      <w:proofErr w:type="spellStart"/>
      <w:r w:rsidRPr="002845A8">
        <w:rPr>
          <w:rFonts w:ascii="Segoe UI" w:eastAsia="Times New Roman" w:hAnsi="Segoe UI" w:cs="Segoe UI"/>
          <w:sz w:val="22"/>
          <w:lang w:eastAsia="es-CO"/>
        </w:rPr>
        <w:t>N°</w:t>
      </w:r>
      <w:proofErr w:type="spellEnd"/>
      <w:r w:rsidRPr="002845A8">
        <w:rPr>
          <w:rFonts w:ascii="Segoe UI" w:eastAsia="Times New Roman" w:hAnsi="Segoe UI" w:cs="Segoe UI"/>
          <w:sz w:val="22"/>
          <w:lang w:eastAsia="es-CO"/>
        </w:rPr>
        <w:t xml:space="preserve"> 025962 del 3 de mayo de 2013), para esta Subdirección el mismo es susceptible de respuesta -</w:t>
      </w:r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lato sensu</w:t>
      </w:r>
      <w:r w:rsidRPr="002845A8">
        <w:rPr>
          <w:rFonts w:ascii="Segoe UI" w:eastAsia="Times New Roman" w:hAnsi="Segoe UI" w:cs="Segoe UI"/>
          <w:sz w:val="22"/>
          <w:lang w:eastAsia="es-CO"/>
        </w:rPr>
        <w:t>- por parte del contribuyente; a saber, presentando nuevamente la solicitud de devolución o compensación, subsanando los errores que fueren del caso (como réplica o contestación al mencionado auto), lo cual resulta coherente con el sentido natural y obvio de las palabras “responder” y “respuesta” (cfr. artículo 28 del Código Civil). Por ello, es menester atender el término especial consagrado a favor del contribuyente en el citado </w:t>
      </w:r>
      <w:hyperlink r:id="rId16" w:tooltip="Estatuto Tributario CETA" w:history="1">
        <w:r w:rsidRPr="002845A8">
          <w:rPr>
            <w:rFonts w:ascii="Segoe UI" w:eastAsia="Times New Roman" w:hAnsi="Segoe UI" w:cs="Segoe UI"/>
            <w:color w:val="0089E1"/>
            <w:sz w:val="22"/>
            <w:lang w:eastAsia="es-CO"/>
          </w:rPr>
          <w:t>artículo 566-1</w:t>
        </w:r>
      </w:hyperlink>
      <w:r w:rsidRPr="002845A8">
        <w:rPr>
          <w:rFonts w:ascii="Segoe UI" w:eastAsia="Times New Roman" w:hAnsi="Segoe UI" w:cs="Segoe UI"/>
          <w:sz w:val="22"/>
          <w:lang w:eastAsia="es-CO"/>
        </w:rPr>
        <w:t xml:space="preserve"> cuando dicho auto </w:t>
      </w:r>
      <w:proofErr w:type="spellStart"/>
      <w:r w:rsidRPr="002845A8">
        <w:rPr>
          <w:rFonts w:ascii="Segoe UI" w:eastAsia="Times New Roman" w:hAnsi="Segoe UI" w:cs="Segoe UI"/>
          <w:sz w:val="22"/>
          <w:lang w:eastAsia="es-CO"/>
        </w:rPr>
        <w:t>inadmisorio</w:t>
      </w:r>
      <w:proofErr w:type="spellEnd"/>
      <w:r w:rsidRPr="002845A8">
        <w:rPr>
          <w:rFonts w:ascii="Segoe UI" w:eastAsia="Times New Roman" w:hAnsi="Segoe UI" w:cs="Segoe UI"/>
          <w:sz w:val="22"/>
          <w:lang w:eastAsia="es-CO"/>
        </w:rPr>
        <w:t xml:space="preserve"> es notificado electrónicamente.</w:t>
      </w:r>
    </w:p>
    <w:p w14:paraId="5B1CB9E6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7814A290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En otras palabras, el término de un (1) mes para presentar la nueva solicitud de devolución o compensación a que hace alusión el reseñado parágrafo 1° del </w:t>
      </w:r>
      <w:hyperlink r:id="rId17" w:tooltip="Estatuto Tributario CETA" w:history="1">
        <w:r w:rsidRPr="002845A8">
          <w:rPr>
            <w:rFonts w:ascii="Segoe UI" w:eastAsia="Times New Roman" w:hAnsi="Segoe UI" w:cs="Segoe UI"/>
            <w:color w:val="0089E1"/>
            <w:sz w:val="22"/>
            <w:lang w:eastAsia="es-CO"/>
          </w:rPr>
          <w:t>artículo 857</w:t>
        </w:r>
      </w:hyperlink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  <w:proofErr w:type="spellStart"/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ibídem</w:t>
      </w:r>
      <w:proofErr w:type="spellEnd"/>
      <w:r w:rsidRPr="002845A8">
        <w:rPr>
          <w:rFonts w:ascii="Segoe UI" w:eastAsia="Times New Roman" w:hAnsi="Segoe UI" w:cs="Segoe UI"/>
          <w:i/>
          <w:iCs/>
          <w:sz w:val="22"/>
          <w:lang w:eastAsia="es-CO"/>
        </w:rPr>
        <w:t> </w:t>
      </w:r>
      <w:r w:rsidRPr="002845A8">
        <w:rPr>
          <w:rFonts w:ascii="Segoe UI" w:eastAsia="Times New Roman" w:hAnsi="Segoe UI" w:cs="Segoe UI"/>
          <w:sz w:val="22"/>
          <w:lang w:eastAsia="es-CO"/>
        </w:rPr>
        <w:t xml:space="preserve">inicia una vez transcurridos los cinco (5) días a partir de la entrega del correo electrónico con el cual se notificó el auto </w:t>
      </w:r>
      <w:proofErr w:type="spellStart"/>
      <w:r w:rsidRPr="002845A8">
        <w:rPr>
          <w:rFonts w:ascii="Segoe UI" w:eastAsia="Times New Roman" w:hAnsi="Segoe UI" w:cs="Segoe UI"/>
          <w:sz w:val="22"/>
          <w:lang w:eastAsia="es-CO"/>
        </w:rPr>
        <w:t>inadmisorio</w:t>
      </w:r>
      <w:proofErr w:type="spellEnd"/>
      <w:r w:rsidRPr="002845A8">
        <w:rPr>
          <w:rFonts w:ascii="Segoe UI" w:eastAsia="Times New Roman" w:hAnsi="Segoe UI" w:cs="Segoe UI"/>
          <w:sz w:val="22"/>
          <w:lang w:eastAsia="es-CO"/>
        </w:rPr>
        <w:t xml:space="preserve"> objeto de consulta.</w:t>
      </w:r>
    </w:p>
    <w:p w14:paraId="4AAD71BD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10ED4F8F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 </w:t>
      </w:r>
    </w:p>
    <w:p w14:paraId="7B11D0D3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Atentamente,</w:t>
      </w:r>
    </w:p>
    <w:p w14:paraId="75853179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b/>
          <w:bCs/>
          <w:sz w:val="22"/>
          <w:lang w:eastAsia="es-CO"/>
        </w:rPr>
        <w:t> </w:t>
      </w:r>
    </w:p>
    <w:p w14:paraId="11C7F4DB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b/>
          <w:bCs/>
          <w:sz w:val="22"/>
          <w:lang w:eastAsia="es-CO"/>
        </w:rPr>
        <w:t> </w:t>
      </w:r>
    </w:p>
    <w:p w14:paraId="3F093FD0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b/>
          <w:bCs/>
          <w:sz w:val="22"/>
          <w:lang w:eastAsia="es-CO"/>
        </w:rPr>
        <w:t>NICOLÁS BERNAL ABELLA</w:t>
      </w:r>
    </w:p>
    <w:p w14:paraId="60E1E8A0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t>Subdirector de Normativa y Doctrina (E)</w:t>
      </w:r>
    </w:p>
    <w:p w14:paraId="55A628B3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sz w:val="22"/>
          <w:lang w:eastAsia="es-CO"/>
        </w:rPr>
        <w:lastRenderedPageBreak/>
        <w:t>Dirección de Gestión Jurídica</w:t>
      </w:r>
    </w:p>
    <w:p w14:paraId="62744E6A" w14:textId="77777777" w:rsidR="002845A8" w:rsidRPr="002845A8" w:rsidRDefault="002845A8" w:rsidP="002845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2845A8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UAE-Dirección de Impuestos y Aduanas Nacionales</w:t>
      </w:r>
    </w:p>
    <w:p w14:paraId="505D27C6" w14:textId="77777777" w:rsidR="007F5CC8" w:rsidRDefault="007F5CC8"/>
    <w:sectPr w:rsidR="007F5CC8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A8"/>
    <w:rsid w:val="000F3837"/>
    <w:rsid w:val="001E311E"/>
    <w:rsid w:val="002845A8"/>
    <w:rsid w:val="00434AE6"/>
    <w:rsid w:val="007F5CC8"/>
    <w:rsid w:val="008779BE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6C2C"/>
  <w15:chartTrackingRefBased/>
  <w15:docId w15:val="{F7147167-D82F-4498-A394-F7FB3CBD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a.org.co/html/vista_de_un_articulo.asp?Norma=699" TargetMode="External"/><Relationship Id="rId13" Type="http://schemas.openxmlformats.org/officeDocument/2006/relationships/hyperlink" Target="https://www.ceta.org.co/html/vista_de_un_articulo.asp?Norma=1603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ta.org.co/html/vista_de_un_articulo.asp?Norma=16035" TargetMode="External"/><Relationship Id="rId12" Type="http://schemas.openxmlformats.org/officeDocument/2006/relationships/hyperlink" Target="https://www.ceta.org.co/html/vista_de_un_articulo.asp?Norma=699" TargetMode="External"/><Relationship Id="rId17" Type="http://schemas.openxmlformats.org/officeDocument/2006/relationships/hyperlink" Target="https://www.ceta.org.co/html/vista_de_un_articulo.asp?Norma=10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eta.org.co/html/vista_de_un_articulo.asp?Norma=16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eta.org.co/html/vista_de_un_articulo.asp?Norma=1066" TargetMode="External"/><Relationship Id="rId11" Type="http://schemas.openxmlformats.org/officeDocument/2006/relationships/hyperlink" Target="https://www.ceta.org.co/html/vista_de_un_articulo.asp?Norma=16035" TargetMode="External"/><Relationship Id="rId5" Type="http://schemas.openxmlformats.org/officeDocument/2006/relationships/hyperlink" Target="https://www.ceta.org.co/html/vista_de_un_articulo.asp?Norma=16035" TargetMode="External"/><Relationship Id="rId15" Type="http://schemas.openxmlformats.org/officeDocument/2006/relationships/hyperlink" Target="https://www.ceta.org.co/html/vista_de_un_articulo.asp?Norma=1066" TargetMode="External"/><Relationship Id="rId10" Type="http://schemas.openxmlformats.org/officeDocument/2006/relationships/hyperlink" Target="https://www.ceta.org.co/html/vista_de_un_articulo.asp?Norma=1603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eta.org.co/html/vista_de_un_articulo.asp?Norma=699" TargetMode="External"/><Relationship Id="rId9" Type="http://schemas.openxmlformats.org/officeDocument/2006/relationships/hyperlink" Target="https://www.ceta.org.co/html/vista_de_un_articulo.asp?Norma=699" TargetMode="External"/><Relationship Id="rId14" Type="http://schemas.openxmlformats.org/officeDocument/2006/relationships/hyperlink" Target="https://www.ceta.org.co/html/vista_de_un_articulo.asp?Norma=106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1094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Alzate Duque</dc:creator>
  <cp:keywords/>
  <dc:description/>
  <cp:lastModifiedBy>Guillermo Alzate Duque</cp:lastModifiedBy>
  <cp:revision>1</cp:revision>
  <dcterms:created xsi:type="dcterms:W3CDTF">2022-02-24T01:44:00Z</dcterms:created>
  <dcterms:modified xsi:type="dcterms:W3CDTF">2022-02-24T01:47:00Z</dcterms:modified>
</cp:coreProperties>
</file>