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CEF0" w14:textId="77777777" w:rsidR="002845A8" w:rsidRPr="002845A8" w:rsidRDefault="002845A8" w:rsidP="002845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2845A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2845A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412 [901069]</w:t>
      </w:r>
    </w:p>
    <w:p w14:paraId="1549BF88" w14:textId="77777777" w:rsidR="002845A8" w:rsidRPr="002845A8" w:rsidRDefault="002845A8" w:rsidP="002845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08-11-2021</w:t>
      </w:r>
    </w:p>
    <w:p w14:paraId="49457EED" w14:textId="77777777" w:rsidR="002845A8" w:rsidRPr="002845A8" w:rsidRDefault="002845A8" w:rsidP="002845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0A231E9F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05A690C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77C9613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Subdirección de Normativa y Doctrina</w:t>
      </w:r>
    </w:p>
    <w:p w14:paraId="719630E4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100208192-412</w:t>
      </w:r>
    </w:p>
    <w:p w14:paraId="29DE88D3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Bogotá, D.C.</w:t>
      </w:r>
    </w:p>
    <w:p w14:paraId="5933D301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3432AABA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Tema:</w:t>
      </w:r>
      <w:r w:rsidRPr="002845A8">
        <w:rPr>
          <w:rFonts w:ascii="Segoe UI" w:eastAsia="Times New Roman" w:hAnsi="Segoe UI" w:cs="Segoe UI"/>
          <w:sz w:val="22"/>
          <w:lang w:eastAsia="es-CO"/>
        </w:rPr>
        <w:t> Procedimiento tributario</w:t>
      </w:r>
    </w:p>
    <w:p w14:paraId="16CC617D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Descriptores:</w:t>
      </w:r>
      <w:r w:rsidRPr="002845A8">
        <w:rPr>
          <w:rFonts w:ascii="Segoe UI" w:eastAsia="Times New Roman" w:hAnsi="Segoe UI" w:cs="Segoe UI"/>
          <w:sz w:val="22"/>
          <w:lang w:eastAsia="es-CO"/>
        </w:rPr>
        <w:t> Notificación electrónica</w:t>
      </w:r>
    </w:p>
    <w:p w14:paraId="39C4A99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Fuentes formales:</w:t>
      </w:r>
      <w:r w:rsidRPr="002845A8">
        <w:rPr>
          <w:rFonts w:ascii="Segoe UI" w:eastAsia="Times New Roman" w:hAnsi="Segoe UI" w:cs="Segoe UI"/>
          <w:sz w:val="22"/>
          <w:lang w:eastAsia="es-CO"/>
        </w:rPr>
        <w:t> Artículos </w:t>
      </w:r>
      <w:hyperlink r:id="rId4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565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, </w:t>
      </w:r>
      <w:hyperlink r:id="rId5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566-1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y </w:t>
      </w:r>
      <w:hyperlink r:id="rId6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857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del Estatuto Tributario</w:t>
      </w:r>
    </w:p>
    <w:p w14:paraId="48A9D925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36FC467F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Cordial saludo,</w:t>
      </w:r>
    </w:p>
    <w:p w14:paraId="072938C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5372E395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De conformidad con el artículo 56 del Decreto 1742 del 2020, este Despacho está facultado para absolver las consultas escritas, presentadas de manera general, que se formulen sobre interpretación y aplicación de las normas tributarias, aduaneras y de fiscalización cambiaria, en lo de competencia de la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991B00E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651BFCA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Mediante el radicado de la referencia, el peticionario consulta:</w:t>
      </w:r>
    </w:p>
    <w:p w14:paraId="7DB7638F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7F735231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¿Tiene aplicación el término de cinco (5) días previsto en el </w:t>
      </w:r>
      <w:hyperlink r:id="rId7" w:tooltip="Estatuto Tributario CETA" w:history="1">
        <w:r w:rsidRPr="002845A8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artículo 566-1</w:t>
        </w:r>
      </w:hyperlink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 xml:space="preserve"> del Estatuto Tributario cuando se notifica electrónicamente un auto </w:t>
      </w:r>
      <w:proofErr w:type="spellStart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 xml:space="preserve"> de una solicitud de devolución o compensación?</w:t>
      </w:r>
    </w:p>
    <w:p w14:paraId="06251BB7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58A4DCF9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Sobre el particular, las consideraciones de este Despacho son las siguientes:</w:t>
      </w:r>
    </w:p>
    <w:p w14:paraId="47BE1DB7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6386C67A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En cuanto a la notificación electrónica, el </w:t>
      </w:r>
      <w:hyperlink r:id="rId8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565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del Estatuto Tributario señala:</w:t>
      </w:r>
    </w:p>
    <w:p w14:paraId="44791DB9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75760F28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hyperlink r:id="rId9" w:tooltip="Estatuto Tributario CETA" w:history="1">
        <w:r w:rsidRPr="002845A8">
          <w:rPr>
            <w:rFonts w:ascii="Segoe UI" w:eastAsia="Times New Roman" w:hAnsi="Segoe UI" w:cs="Segoe UI"/>
            <w:b/>
            <w:bCs/>
            <w:i/>
            <w:iCs/>
            <w:color w:val="0089E1"/>
            <w:sz w:val="18"/>
            <w:szCs w:val="18"/>
            <w:lang w:eastAsia="es-CO"/>
          </w:rPr>
          <w:t>Artículo 565</w:t>
        </w:r>
      </w:hyperlink>
      <w:r w:rsidRPr="002845A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. FORMAS DE NOTIFICACIÓN DE LAS ACTUACIONES DE LA ADMINISTRACIÓN TRIBUTARIA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 Los requerimientos, autos que ordenen inspecciones o verificaciones tributarias, emplazamientos, citaciones, resoluciones en que se impongan sanciones, liquidaciones oficiales y 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demás actuaciones administrativas, deben notificarse de manera electrónica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personalmente o a través de la red oficial de correos o de cualquier servicio de mensajería especializada debidamente autorizada por la autoridad competente”. </w:t>
      </w:r>
      <w:r w:rsidRPr="002845A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 texto)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14:paraId="4D306046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53EA494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El </w:t>
      </w:r>
      <w:hyperlink r:id="rId10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566-1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  <w:proofErr w:type="spellStart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ibídem</w:t>
      </w:r>
      <w:proofErr w:type="spellEnd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  <w:r w:rsidRPr="002845A8">
        <w:rPr>
          <w:rFonts w:ascii="Segoe UI" w:eastAsia="Times New Roman" w:hAnsi="Segoe UI" w:cs="Segoe UI"/>
          <w:sz w:val="22"/>
          <w:lang w:eastAsia="es-CO"/>
        </w:rPr>
        <w:t>establece a su vez:</w:t>
      </w:r>
    </w:p>
    <w:p w14:paraId="5E0904B3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1B0628D0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“</w:t>
      </w:r>
      <w:hyperlink r:id="rId11" w:tooltip="Estatuto Tributario CETA" w:history="1">
        <w:r w:rsidRPr="002845A8">
          <w:rPr>
            <w:rFonts w:ascii="Segoe UI" w:eastAsia="Times New Roman" w:hAnsi="Segoe UI" w:cs="Segoe UI"/>
            <w:b/>
            <w:bCs/>
            <w:i/>
            <w:iCs/>
            <w:color w:val="0089E1"/>
            <w:sz w:val="22"/>
            <w:lang w:eastAsia="es-CO"/>
          </w:rPr>
          <w:t>ARTÍCULO 566-1</w:t>
        </w:r>
      </w:hyperlink>
      <w:r w:rsidRPr="002845A8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. NOTIFICACIÓN ELECTRÓNICA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. &lt;Artículo modificado por el artículo 105 de la Ley 2010 de 2019. El nuevo texto es el siguiente:&gt; Es la forma de notificación que se surte de manera electrónica a través de la cual la Dirección de Impuestos y Aduanas Nacionales (DIAN)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pone en conocimiento de los administrados los actos administrativos de que trata el </w:t>
      </w:r>
      <w:hyperlink r:id="rId12" w:tooltip="Estatuto Tributario CETA" w:history="1">
        <w:r w:rsidRPr="002845A8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artículo 565</w:t>
        </w:r>
      </w:hyperlink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 del Estatuto Tributario, incluidos los que se profieran en el proceso de cobro.</w:t>
      </w:r>
    </w:p>
    <w:p w14:paraId="5658689C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18B21997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(…)”. </w:t>
      </w:r>
      <w:r w:rsidRPr="002845A8">
        <w:rPr>
          <w:rFonts w:ascii="Segoe UI" w:eastAsia="Times New Roman" w:hAnsi="Segoe UI" w:cs="Segoe UI"/>
          <w:sz w:val="22"/>
          <w:lang w:eastAsia="es-CO"/>
        </w:rPr>
        <w:t>(Subrayado fuera de texto).</w:t>
      </w:r>
    </w:p>
    <w:p w14:paraId="038C856F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40E7A30E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 xml:space="preserve">De modo que, no cabe duda sobre la procedencia de la notificación electrónica en lo que respecta al auto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sub examine</w:t>
      </w:r>
      <w:r w:rsidRPr="002845A8">
        <w:rPr>
          <w:rFonts w:ascii="Segoe UI" w:eastAsia="Times New Roman" w:hAnsi="Segoe UI" w:cs="Segoe UI"/>
          <w:sz w:val="22"/>
          <w:lang w:eastAsia="es-CO"/>
        </w:rPr>
        <w:t>.</w:t>
      </w:r>
    </w:p>
    <w:p w14:paraId="11671E9D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3C0E2E4C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De otra parte, el mismo </w:t>
      </w:r>
      <w:hyperlink r:id="rId13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566-1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dispone:</w:t>
      </w:r>
    </w:p>
    <w:p w14:paraId="0712FB78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7E45E69C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“(…) La notificación electrónica se entenderá surtida para todos los efectos legales, en la fecha del envío del acto administrativo en el correo electrónico autorizado; no obstante,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 xml:space="preserve">los términos legales para el contribuyente, responsable, agente retenedor, declarante o su apoderado 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lastRenderedPageBreak/>
        <w:t>para </w:t>
      </w:r>
      <w:r w:rsidRPr="002845A8">
        <w:rPr>
          <w:rFonts w:ascii="Segoe UI" w:eastAsia="Times New Roman" w:hAnsi="Segoe UI" w:cs="Segoe UI"/>
          <w:b/>
          <w:bCs/>
          <w:i/>
          <w:iCs/>
          <w:sz w:val="22"/>
          <w:u w:val="single"/>
          <w:lang w:eastAsia="es-CO"/>
        </w:rPr>
        <w:t>responder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o impugnar en sede administrativa, comenzarán a correr transcurridos cinco (5) días a partir de la entrega del correo electrónico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”. </w:t>
      </w:r>
      <w:r w:rsidRPr="002845A8">
        <w:rPr>
          <w:rFonts w:ascii="Segoe UI" w:eastAsia="Times New Roman" w:hAnsi="Segoe UI" w:cs="Segoe UI"/>
          <w:sz w:val="22"/>
          <w:lang w:eastAsia="es-CO"/>
        </w:rPr>
        <w:t>(Subrayado y negrilla fuera de texto).</w:t>
      </w:r>
    </w:p>
    <w:p w14:paraId="5AACDB77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346C5A8B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En cuanto al significado del verbo “responder”, en el Diccionario de la lengua española la Real Academia Española señala -entre varias opciones- que este consiste en 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“Contestar algo para resolver lo que se pregunta o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para atender una comunicación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” </w:t>
      </w:r>
      <w:r w:rsidRPr="002845A8">
        <w:rPr>
          <w:rFonts w:ascii="Segoe UI" w:eastAsia="Times New Roman" w:hAnsi="Segoe UI" w:cs="Segoe UI"/>
          <w:sz w:val="22"/>
          <w:lang w:eastAsia="es-CO"/>
        </w:rPr>
        <w:t>(subrayado fuera de texto). Asimismo, del término “respuesta” se exponen las siguientes acepciones:</w:t>
      </w:r>
    </w:p>
    <w:p w14:paraId="3BDA5911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4297C175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“(…)</w:t>
      </w:r>
    </w:p>
    <w:p w14:paraId="52E58F01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4BABE99C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3. f.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Réplica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, refutación o contradicción de lo que alguien dice.</w:t>
      </w:r>
    </w:p>
    <w:p w14:paraId="1D2DF41E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06FAF2B3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4. f.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Contestación a una carta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o billete.</w:t>
      </w:r>
    </w:p>
    <w:p w14:paraId="643D81A9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26A418EC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(…)</w:t>
      </w:r>
    </w:p>
    <w:p w14:paraId="005CD820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04DBF48F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6. f.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Efecto que se pretende conseguir con una acción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”. </w:t>
      </w:r>
      <w:r w:rsidRPr="002845A8">
        <w:rPr>
          <w:rFonts w:ascii="Segoe UI" w:eastAsia="Times New Roman" w:hAnsi="Segoe UI" w:cs="Segoe UI"/>
          <w:sz w:val="22"/>
          <w:lang w:eastAsia="es-CO"/>
        </w:rPr>
        <w:t>(Subrayado fuera de texto).</w:t>
      </w:r>
    </w:p>
    <w:p w14:paraId="0541B685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4503C061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 xml:space="preserve">Ahora bien, en relación con el auto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 xml:space="preserve"> de la solicitud de devolución o compensación, el parágrafo 1° del </w:t>
      </w:r>
      <w:hyperlink r:id="rId14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857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  <w:proofErr w:type="spellStart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ibídem</w:t>
      </w:r>
      <w:proofErr w:type="spellEnd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  <w:r w:rsidRPr="002845A8">
        <w:rPr>
          <w:rFonts w:ascii="Segoe UI" w:eastAsia="Times New Roman" w:hAnsi="Segoe UI" w:cs="Segoe UI"/>
          <w:sz w:val="22"/>
          <w:lang w:eastAsia="es-CO"/>
        </w:rPr>
        <w:t>indica:</w:t>
      </w:r>
    </w:p>
    <w:p w14:paraId="3BF81568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375A1D82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“</w:t>
      </w:r>
      <w:hyperlink r:id="rId15" w:tooltip="Estatuto Tributario CETA" w:history="1">
        <w:r w:rsidRPr="002845A8">
          <w:rPr>
            <w:rFonts w:ascii="Segoe UI" w:eastAsia="Times New Roman" w:hAnsi="Segoe UI" w:cs="Segoe UI"/>
            <w:b/>
            <w:bCs/>
            <w:i/>
            <w:iCs/>
            <w:color w:val="0089E1"/>
            <w:sz w:val="22"/>
            <w:lang w:eastAsia="es-CO"/>
          </w:rPr>
          <w:t>ARTÍCULO 857</w:t>
        </w:r>
      </w:hyperlink>
      <w:r w:rsidRPr="002845A8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. RECHAZO E INADMISIÓN DE LAS SOLICITUDES DE DEVOLUCIÓN O COMPENSACIÓN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. &lt;Artículo modificado por el artículo 141 de la Ley 223 de 1995. El nuevo texto es el siguiente&gt; (…)</w:t>
      </w:r>
    </w:p>
    <w:p w14:paraId="172ADF31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62C121E8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(…)</w:t>
      </w:r>
    </w:p>
    <w:p w14:paraId="263EA995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4CFC8CF9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PARÁGRAFO 1o.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Cuando se inadmita la solicitud, 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deberá presentarse dentro del mes siguiente una nueva solicitud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en que 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se subsanen las causales</w:t>
      </w:r>
      <w:r w:rsidRPr="002845A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que dieron lugar a su inadmisión.</w:t>
      </w:r>
    </w:p>
    <w:p w14:paraId="0FB9101D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49ABF257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Vencido el término para solicitar la devolución o compensación la nueva solicitud </w:t>
      </w:r>
      <w:r w:rsidRPr="002845A8">
        <w:rPr>
          <w:rFonts w:ascii="Segoe UI" w:eastAsia="Times New Roman" w:hAnsi="Segoe UI" w:cs="Segoe UI"/>
          <w:i/>
          <w:iCs/>
          <w:sz w:val="22"/>
          <w:u w:val="single"/>
          <w:lang w:eastAsia="es-CO"/>
        </w:rPr>
        <w:t>se entenderá presentada oportunamente, siempre y cuando su presentación se efectúe dentro del plazo señalado en el inciso anterior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.</w:t>
      </w:r>
    </w:p>
    <w:p w14:paraId="647CCA38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14:paraId="2266C5A6" w14:textId="77777777" w:rsidR="002845A8" w:rsidRPr="002845A8" w:rsidRDefault="002845A8" w:rsidP="002845A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(…)”. </w:t>
      </w:r>
      <w:r w:rsidRPr="002845A8">
        <w:rPr>
          <w:rFonts w:ascii="Segoe UI" w:eastAsia="Times New Roman" w:hAnsi="Segoe UI" w:cs="Segoe UI"/>
          <w:sz w:val="22"/>
          <w:lang w:eastAsia="es-CO"/>
        </w:rPr>
        <w:t>(Subrayado fuera de texto).</w:t>
      </w:r>
    </w:p>
    <w:p w14:paraId="5BB93C15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6C42D61B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 xml:space="preserve">Así las cosas, aunque el auto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 xml:space="preserve"> en comento tiene la calidad de un acto administrativo de trámite (cfr. Oficio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N°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 xml:space="preserve"> 025962 del 3 de mayo de 2013), para esta Subdirección el mismo es susceptible de respuesta -</w:t>
      </w:r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lato sensu</w:t>
      </w:r>
      <w:r w:rsidRPr="002845A8">
        <w:rPr>
          <w:rFonts w:ascii="Segoe UI" w:eastAsia="Times New Roman" w:hAnsi="Segoe UI" w:cs="Segoe UI"/>
          <w:sz w:val="22"/>
          <w:lang w:eastAsia="es-CO"/>
        </w:rPr>
        <w:t>- por parte del contribuyente; a saber, presentando nuevamente la solicitud de devolución o compensación, subsanando los errores que fueren del caso (como réplica o contestación al mencionado auto), lo cual resulta coherente con el sentido natural y obvio de las palabras “responder” y “respuesta” (cfr. artículo 28 del Código Civil). Por ello, es menester atender el término especial consagrado a favor del contribuyente en el citado </w:t>
      </w:r>
      <w:hyperlink r:id="rId16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566-1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 xml:space="preserve"> cuando dicho auto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 xml:space="preserve"> es notificado electrónicamente.</w:t>
      </w:r>
    </w:p>
    <w:p w14:paraId="5B1CB9E6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7814A29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En otras palabras, el término de un (1) mes para presentar la nueva solicitud de devolución o compensación a que hace alusión el reseñado parágrafo 1° del </w:t>
      </w:r>
      <w:hyperlink r:id="rId17" w:tooltip="Estatuto Tributario CETA" w:history="1">
        <w:r w:rsidRPr="002845A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857</w:t>
        </w:r>
      </w:hyperlink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  <w:proofErr w:type="spellStart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ibídem</w:t>
      </w:r>
      <w:proofErr w:type="spellEnd"/>
      <w:r w:rsidRPr="002845A8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  <w:r w:rsidRPr="002845A8">
        <w:rPr>
          <w:rFonts w:ascii="Segoe UI" w:eastAsia="Times New Roman" w:hAnsi="Segoe UI" w:cs="Segoe UI"/>
          <w:sz w:val="22"/>
          <w:lang w:eastAsia="es-CO"/>
        </w:rPr>
        <w:t xml:space="preserve">inicia una vez transcurridos los cinco (5) días a partir de la entrega del correo electrónico con el cual se notificó el auto </w:t>
      </w:r>
      <w:proofErr w:type="spellStart"/>
      <w:r w:rsidRPr="002845A8">
        <w:rPr>
          <w:rFonts w:ascii="Segoe UI" w:eastAsia="Times New Roman" w:hAnsi="Segoe UI" w:cs="Segoe UI"/>
          <w:sz w:val="22"/>
          <w:lang w:eastAsia="es-CO"/>
        </w:rPr>
        <w:t>inadmisorio</w:t>
      </w:r>
      <w:proofErr w:type="spellEnd"/>
      <w:r w:rsidRPr="002845A8">
        <w:rPr>
          <w:rFonts w:ascii="Segoe UI" w:eastAsia="Times New Roman" w:hAnsi="Segoe UI" w:cs="Segoe UI"/>
          <w:sz w:val="22"/>
          <w:lang w:eastAsia="es-CO"/>
        </w:rPr>
        <w:t xml:space="preserve"> objeto de consulta.</w:t>
      </w:r>
    </w:p>
    <w:p w14:paraId="4AAD71BD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10ED4F8F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 </w:t>
      </w:r>
    </w:p>
    <w:p w14:paraId="7B11D0D3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Atentamente,</w:t>
      </w:r>
    </w:p>
    <w:p w14:paraId="75853179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14:paraId="11C7F4DB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14:paraId="3F093FD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b/>
          <w:bCs/>
          <w:sz w:val="22"/>
          <w:lang w:eastAsia="es-CO"/>
        </w:rPr>
        <w:t>NICOLÁS BERNAL ABELLA</w:t>
      </w:r>
    </w:p>
    <w:p w14:paraId="60E1E8A0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t>Subdirector de Normativa y Doctrina (E)</w:t>
      </w:r>
    </w:p>
    <w:p w14:paraId="55A628B3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sz w:val="22"/>
          <w:lang w:eastAsia="es-CO"/>
        </w:rPr>
        <w:lastRenderedPageBreak/>
        <w:t>Dirección de Gestión Jurídica</w:t>
      </w:r>
    </w:p>
    <w:p w14:paraId="62744E6A" w14:textId="77777777" w:rsidR="002845A8" w:rsidRPr="002845A8" w:rsidRDefault="002845A8" w:rsidP="002845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845A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UAE-Dirección de Impuestos y Aduanas Nacionales</w:t>
      </w:r>
    </w:p>
    <w:p w14:paraId="505D27C6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A8"/>
    <w:rsid w:val="000F3837"/>
    <w:rsid w:val="001E311E"/>
    <w:rsid w:val="002845A8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6C2C"/>
  <w15:chartTrackingRefBased/>
  <w15:docId w15:val="{F7147167-D82F-4498-A394-F7FB3CB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699" TargetMode="External"/><Relationship Id="rId13" Type="http://schemas.openxmlformats.org/officeDocument/2006/relationships/hyperlink" Target="https://www.ceta.org.co/html/vista_de_un_articulo.asp?Norma=1603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6035" TargetMode="External"/><Relationship Id="rId12" Type="http://schemas.openxmlformats.org/officeDocument/2006/relationships/hyperlink" Target="https://www.ceta.org.co/html/vista_de_un_articulo.asp?Norma=699" TargetMode="External"/><Relationship Id="rId17" Type="http://schemas.openxmlformats.org/officeDocument/2006/relationships/hyperlink" Target="https://www.ceta.org.co/html/vista_de_un_articulo.asp?Norma=10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16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066" TargetMode="External"/><Relationship Id="rId11" Type="http://schemas.openxmlformats.org/officeDocument/2006/relationships/hyperlink" Target="https://www.ceta.org.co/html/vista_de_un_articulo.asp?Norma=16035" TargetMode="External"/><Relationship Id="rId5" Type="http://schemas.openxmlformats.org/officeDocument/2006/relationships/hyperlink" Target="https://www.ceta.org.co/html/vista_de_un_articulo.asp?Norma=16035" TargetMode="External"/><Relationship Id="rId15" Type="http://schemas.openxmlformats.org/officeDocument/2006/relationships/hyperlink" Target="https://www.ceta.org.co/html/vista_de_un_articulo.asp?Norma=1066" TargetMode="External"/><Relationship Id="rId10" Type="http://schemas.openxmlformats.org/officeDocument/2006/relationships/hyperlink" Target="https://www.ceta.org.co/html/vista_de_un_articulo.asp?Norma=1603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699" TargetMode="External"/><Relationship Id="rId9" Type="http://schemas.openxmlformats.org/officeDocument/2006/relationships/hyperlink" Target="https://www.ceta.org.co/html/vista_de_un_articulo.asp?Norma=699" TargetMode="External"/><Relationship Id="rId14" Type="http://schemas.openxmlformats.org/officeDocument/2006/relationships/hyperlink" Target="https://www.ceta.org.co/html/vista_de_un_articulo.asp?Norma=10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1094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2022-02-24T01:44:00Z</dcterms:created>
  <dcterms:modified xsi:type="dcterms:W3CDTF">2022-02-24T01:47:00Z</dcterms:modified>
</cp:coreProperties>
</file>