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97DF94" w14:textId="77777777" w:rsidR="00CB64D0" w:rsidRPr="00CB64D0" w:rsidRDefault="00CB64D0" w:rsidP="00CB64D0">
      <w:pPr>
        <w:spacing w:line="240" w:lineRule="auto"/>
        <w:jc w:val="center"/>
        <w:rPr>
          <w:rFonts w:eastAsia="Times New Roman" w:cs="Times New Roman"/>
          <w:szCs w:val="24"/>
          <w:lang w:eastAsia="es-ES"/>
        </w:rPr>
      </w:pPr>
      <w:r w:rsidRPr="00CB64D0">
        <w:rPr>
          <w:rFonts w:eastAsia="Times New Roman" w:cs="Times New Roman"/>
          <w:b/>
          <w:bCs/>
          <w:szCs w:val="24"/>
          <w:lang w:val="es-CO" w:eastAsia="es-ES"/>
        </w:rPr>
        <w:t xml:space="preserve">OFICIO </w:t>
      </w:r>
      <w:proofErr w:type="spellStart"/>
      <w:r w:rsidRPr="00CB64D0">
        <w:rPr>
          <w:rFonts w:eastAsia="Times New Roman" w:cs="Times New Roman"/>
          <w:b/>
          <w:bCs/>
          <w:szCs w:val="24"/>
          <w:lang w:val="es-CO" w:eastAsia="es-ES"/>
        </w:rPr>
        <w:t>Nº</w:t>
      </w:r>
      <w:proofErr w:type="spellEnd"/>
      <w:r w:rsidRPr="00CB64D0">
        <w:rPr>
          <w:rFonts w:eastAsia="Times New Roman" w:cs="Times New Roman"/>
          <w:b/>
          <w:bCs/>
          <w:szCs w:val="24"/>
          <w:lang w:val="es-CO" w:eastAsia="es-ES"/>
        </w:rPr>
        <w:t xml:space="preserve"> 0348 [005875]</w:t>
      </w:r>
    </w:p>
    <w:p w14:paraId="6868F77F" w14:textId="77777777" w:rsidR="00CB64D0" w:rsidRPr="00CB64D0" w:rsidRDefault="00CB64D0" w:rsidP="00CB64D0">
      <w:pPr>
        <w:spacing w:line="240" w:lineRule="auto"/>
        <w:jc w:val="center"/>
        <w:rPr>
          <w:rFonts w:eastAsia="Times New Roman" w:cs="Times New Roman"/>
          <w:szCs w:val="24"/>
          <w:lang w:eastAsia="es-ES"/>
        </w:rPr>
      </w:pPr>
      <w:r w:rsidRPr="00CB64D0">
        <w:rPr>
          <w:rFonts w:eastAsia="Times New Roman" w:cs="Times New Roman"/>
          <w:b/>
          <w:bCs/>
          <w:szCs w:val="24"/>
          <w:lang w:val="es-CO" w:eastAsia="es-ES"/>
        </w:rPr>
        <w:t>18-03-2020</w:t>
      </w:r>
    </w:p>
    <w:p w14:paraId="1DEBAEF6" w14:textId="77777777" w:rsidR="00CB64D0" w:rsidRPr="00CB64D0" w:rsidRDefault="00CB64D0" w:rsidP="00CB64D0">
      <w:pPr>
        <w:spacing w:line="240" w:lineRule="auto"/>
        <w:jc w:val="center"/>
        <w:rPr>
          <w:rFonts w:eastAsia="Times New Roman" w:cs="Times New Roman"/>
          <w:szCs w:val="24"/>
          <w:lang w:eastAsia="es-ES"/>
        </w:rPr>
      </w:pPr>
      <w:r w:rsidRPr="00CB64D0">
        <w:rPr>
          <w:rFonts w:eastAsia="Times New Roman" w:cs="Times New Roman"/>
          <w:b/>
          <w:bCs/>
          <w:szCs w:val="24"/>
          <w:lang w:val="es-CO" w:eastAsia="es-ES"/>
        </w:rPr>
        <w:t>DIAN</w:t>
      </w:r>
    </w:p>
    <w:p w14:paraId="75A3D573" w14:textId="77777777" w:rsidR="00CB64D0" w:rsidRPr="00CB64D0" w:rsidRDefault="00CB64D0" w:rsidP="00CB64D0">
      <w:pPr>
        <w:spacing w:line="240" w:lineRule="auto"/>
        <w:rPr>
          <w:rFonts w:eastAsia="Times New Roman" w:cs="Times New Roman"/>
          <w:szCs w:val="24"/>
          <w:lang w:eastAsia="es-ES"/>
        </w:rPr>
      </w:pPr>
      <w:r w:rsidRPr="00CB64D0">
        <w:rPr>
          <w:rFonts w:eastAsia="Times New Roman" w:cs="Times New Roman"/>
          <w:szCs w:val="24"/>
          <w:lang w:eastAsia="es-ES"/>
        </w:rPr>
        <w:t> </w:t>
      </w:r>
    </w:p>
    <w:p w14:paraId="2940A4EC" w14:textId="77777777" w:rsidR="00CB64D0" w:rsidRPr="00CB64D0" w:rsidRDefault="00CB64D0" w:rsidP="00CB64D0">
      <w:pPr>
        <w:spacing w:line="240" w:lineRule="auto"/>
        <w:rPr>
          <w:rFonts w:eastAsia="Times New Roman" w:cs="Times New Roman"/>
          <w:szCs w:val="24"/>
          <w:lang w:eastAsia="es-ES"/>
        </w:rPr>
      </w:pPr>
      <w:r w:rsidRPr="00CB64D0">
        <w:rPr>
          <w:rFonts w:eastAsia="Times New Roman" w:cs="Times New Roman"/>
          <w:szCs w:val="24"/>
          <w:lang w:eastAsia="es-ES"/>
        </w:rPr>
        <w:t> </w:t>
      </w:r>
    </w:p>
    <w:p w14:paraId="3003CD39" w14:textId="77777777" w:rsidR="00CB64D0" w:rsidRPr="00CB64D0" w:rsidRDefault="00CB64D0" w:rsidP="00CB64D0">
      <w:pPr>
        <w:spacing w:line="240" w:lineRule="auto"/>
        <w:rPr>
          <w:rFonts w:eastAsia="Times New Roman" w:cs="Times New Roman"/>
          <w:szCs w:val="24"/>
          <w:lang w:eastAsia="es-ES"/>
        </w:rPr>
      </w:pPr>
      <w:r w:rsidRPr="00CB64D0">
        <w:rPr>
          <w:rFonts w:eastAsia="Times New Roman" w:cs="Times New Roman"/>
          <w:szCs w:val="24"/>
          <w:lang w:val="es-CO" w:eastAsia="es-ES"/>
        </w:rPr>
        <w:t>Subdirección de Gestión Normativa y Doctrina</w:t>
      </w:r>
    </w:p>
    <w:p w14:paraId="1CE4D53B" w14:textId="77777777" w:rsidR="00CB64D0" w:rsidRPr="00CB64D0" w:rsidRDefault="00CB64D0" w:rsidP="00CB64D0">
      <w:pPr>
        <w:spacing w:line="240" w:lineRule="auto"/>
        <w:rPr>
          <w:rFonts w:eastAsia="Times New Roman" w:cs="Times New Roman"/>
          <w:szCs w:val="24"/>
          <w:lang w:eastAsia="es-ES"/>
        </w:rPr>
      </w:pPr>
      <w:r w:rsidRPr="00CB64D0">
        <w:rPr>
          <w:rFonts w:eastAsia="Times New Roman" w:cs="Times New Roman"/>
          <w:szCs w:val="24"/>
          <w:lang w:val="es-CO" w:eastAsia="es-ES"/>
        </w:rPr>
        <w:t>100208221-000348</w:t>
      </w:r>
    </w:p>
    <w:p w14:paraId="11D503E4" w14:textId="77777777" w:rsidR="00CB64D0" w:rsidRPr="00CB64D0" w:rsidRDefault="00CB64D0" w:rsidP="00CB64D0">
      <w:pPr>
        <w:spacing w:line="240" w:lineRule="auto"/>
        <w:rPr>
          <w:rFonts w:eastAsia="Times New Roman" w:cs="Times New Roman"/>
          <w:szCs w:val="24"/>
          <w:lang w:eastAsia="es-ES"/>
        </w:rPr>
      </w:pPr>
      <w:r w:rsidRPr="00CB64D0">
        <w:rPr>
          <w:rFonts w:eastAsia="Times New Roman" w:cs="Times New Roman"/>
          <w:szCs w:val="24"/>
          <w:lang w:val="es-CO" w:eastAsia="es-ES"/>
        </w:rPr>
        <w:t>Bogotá, D.C.</w:t>
      </w:r>
    </w:p>
    <w:p w14:paraId="3402F1EF" w14:textId="77777777" w:rsidR="00CB64D0" w:rsidRPr="00CB64D0" w:rsidRDefault="00CB64D0" w:rsidP="00CB64D0">
      <w:pPr>
        <w:spacing w:line="240" w:lineRule="auto"/>
        <w:rPr>
          <w:rFonts w:eastAsia="Times New Roman" w:cs="Times New Roman"/>
          <w:szCs w:val="24"/>
          <w:lang w:eastAsia="es-ES"/>
        </w:rPr>
      </w:pPr>
      <w:r w:rsidRPr="00CB64D0">
        <w:rPr>
          <w:rFonts w:eastAsia="Times New Roman" w:cs="Times New Roman"/>
          <w:szCs w:val="24"/>
          <w:lang w:eastAsia="es-ES"/>
        </w:rPr>
        <w:t> </w:t>
      </w:r>
    </w:p>
    <w:p w14:paraId="700828D3" w14:textId="77777777" w:rsidR="00CB64D0" w:rsidRPr="00CB64D0" w:rsidRDefault="00CB64D0" w:rsidP="00CB64D0">
      <w:pPr>
        <w:spacing w:line="240" w:lineRule="auto"/>
        <w:rPr>
          <w:rFonts w:eastAsia="Times New Roman" w:cs="Times New Roman"/>
          <w:szCs w:val="24"/>
          <w:lang w:eastAsia="es-ES"/>
        </w:rPr>
      </w:pPr>
      <w:proofErr w:type="spellStart"/>
      <w:r w:rsidRPr="00CB64D0">
        <w:rPr>
          <w:rFonts w:eastAsia="Times New Roman" w:cs="Times New Roman"/>
          <w:b/>
          <w:bCs/>
          <w:szCs w:val="24"/>
          <w:lang w:val="es-CO" w:eastAsia="es-ES"/>
        </w:rPr>
        <w:t>Ref</w:t>
      </w:r>
      <w:proofErr w:type="spellEnd"/>
      <w:r w:rsidRPr="00CB64D0">
        <w:rPr>
          <w:rFonts w:eastAsia="Times New Roman" w:cs="Times New Roman"/>
          <w:b/>
          <w:bCs/>
          <w:szCs w:val="24"/>
          <w:lang w:val="es-CO" w:eastAsia="es-ES"/>
        </w:rPr>
        <w:t>:</w:t>
      </w:r>
      <w:r w:rsidRPr="00CB64D0">
        <w:rPr>
          <w:rFonts w:eastAsia="Times New Roman" w:cs="Times New Roman"/>
          <w:szCs w:val="24"/>
          <w:lang w:val="es-CO" w:eastAsia="es-ES"/>
        </w:rPr>
        <w:t> Radicado 100092971 del 15/01/2020</w:t>
      </w:r>
    </w:p>
    <w:tbl>
      <w:tblPr>
        <w:tblW w:w="0" w:type="auto"/>
        <w:tblCellMar>
          <w:left w:w="0" w:type="dxa"/>
          <w:right w:w="0" w:type="dxa"/>
        </w:tblCellMar>
        <w:tblLook w:val="04A0" w:firstRow="1" w:lastRow="0" w:firstColumn="1" w:lastColumn="0" w:noHBand="0" w:noVBand="1"/>
      </w:tblPr>
      <w:tblGrid>
        <w:gridCol w:w="1843"/>
        <w:gridCol w:w="284"/>
        <w:gridCol w:w="283"/>
        <w:gridCol w:w="6094"/>
      </w:tblGrid>
      <w:tr w:rsidR="00CB64D0" w:rsidRPr="00CB64D0" w14:paraId="1E5255A8" w14:textId="77777777" w:rsidTr="00CB64D0">
        <w:tc>
          <w:tcPr>
            <w:tcW w:w="1843" w:type="dxa"/>
            <w:tcBorders>
              <w:top w:val="nil"/>
              <w:left w:val="nil"/>
              <w:bottom w:val="nil"/>
              <w:right w:val="nil"/>
            </w:tcBorders>
            <w:shd w:val="clear" w:color="auto" w:fill="auto"/>
            <w:tcMar>
              <w:top w:w="0" w:type="dxa"/>
              <w:left w:w="108" w:type="dxa"/>
              <w:bottom w:w="0" w:type="dxa"/>
              <w:right w:w="108" w:type="dxa"/>
            </w:tcMar>
            <w:hideMark/>
          </w:tcPr>
          <w:p w14:paraId="0413200A" w14:textId="77777777" w:rsidR="00CB64D0" w:rsidRPr="00CB64D0" w:rsidRDefault="00CB64D0" w:rsidP="00CB64D0">
            <w:pPr>
              <w:spacing w:line="240" w:lineRule="auto"/>
              <w:rPr>
                <w:rFonts w:eastAsia="Times New Roman" w:cs="Times New Roman"/>
                <w:szCs w:val="24"/>
                <w:lang w:eastAsia="es-ES"/>
              </w:rPr>
            </w:pPr>
            <w:r w:rsidRPr="00CB64D0">
              <w:rPr>
                <w:rFonts w:eastAsia="Times New Roman" w:cs="Times New Roman"/>
                <w:b/>
                <w:bCs/>
                <w:szCs w:val="24"/>
                <w:lang w:val="es-CO" w:eastAsia="es-ES"/>
              </w:rPr>
              <w:t>Tema</w:t>
            </w:r>
          </w:p>
        </w:tc>
        <w:tc>
          <w:tcPr>
            <w:tcW w:w="284" w:type="dxa"/>
            <w:tcBorders>
              <w:top w:val="nil"/>
              <w:left w:val="nil"/>
              <w:bottom w:val="nil"/>
              <w:right w:val="nil"/>
            </w:tcBorders>
            <w:shd w:val="clear" w:color="auto" w:fill="auto"/>
            <w:tcMar>
              <w:top w:w="0" w:type="dxa"/>
              <w:left w:w="108" w:type="dxa"/>
              <w:bottom w:w="0" w:type="dxa"/>
              <w:right w:w="108" w:type="dxa"/>
            </w:tcMar>
            <w:hideMark/>
          </w:tcPr>
          <w:p w14:paraId="6CC0DCFF" w14:textId="77777777" w:rsidR="00CB64D0" w:rsidRPr="00CB64D0" w:rsidRDefault="00CB64D0" w:rsidP="00CB64D0">
            <w:pPr>
              <w:spacing w:line="240" w:lineRule="auto"/>
              <w:jc w:val="left"/>
              <w:rPr>
                <w:rFonts w:eastAsia="Times New Roman" w:cs="Times New Roman"/>
                <w:szCs w:val="24"/>
                <w:lang w:eastAsia="es-ES"/>
              </w:rPr>
            </w:pPr>
          </w:p>
        </w:tc>
        <w:tc>
          <w:tcPr>
            <w:tcW w:w="283" w:type="dxa"/>
            <w:tcBorders>
              <w:top w:val="nil"/>
              <w:left w:val="nil"/>
              <w:bottom w:val="nil"/>
              <w:right w:val="nil"/>
            </w:tcBorders>
            <w:shd w:val="clear" w:color="auto" w:fill="auto"/>
            <w:tcMar>
              <w:top w:w="0" w:type="dxa"/>
              <w:left w:w="108" w:type="dxa"/>
              <w:bottom w:w="0" w:type="dxa"/>
              <w:right w:w="108" w:type="dxa"/>
            </w:tcMar>
            <w:hideMark/>
          </w:tcPr>
          <w:p w14:paraId="3DEB19C6" w14:textId="77777777" w:rsidR="00CB64D0" w:rsidRPr="00CB64D0" w:rsidRDefault="00CB64D0" w:rsidP="00CB64D0">
            <w:pPr>
              <w:spacing w:line="240" w:lineRule="auto"/>
              <w:jc w:val="left"/>
              <w:rPr>
                <w:rFonts w:eastAsia="Times New Roman" w:cs="Times New Roman"/>
                <w:szCs w:val="24"/>
                <w:lang w:eastAsia="es-ES"/>
              </w:rPr>
            </w:pPr>
          </w:p>
        </w:tc>
        <w:tc>
          <w:tcPr>
            <w:tcW w:w="6094" w:type="dxa"/>
            <w:tcBorders>
              <w:top w:val="nil"/>
              <w:left w:val="nil"/>
              <w:bottom w:val="nil"/>
              <w:right w:val="nil"/>
            </w:tcBorders>
            <w:shd w:val="clear" w:color="auto" w:fill="auto"/>
            <w:tcMar>
              <w:top w:w="0" w:type="dxa"/>
              <w:left w:w="108" w:type="dxa"/>
              <w:bottom w:w="0" w:type="dxa"/>
              <w:right w:w="108" w:type="dxa"/>
            </w:tcMar>
            <w:hideMark/>
          </w:tcPr>
          <w:p w14:paraId="7F489392" w14:textId="77777777" w:rsidR="00CB64D0" w:rsidRPr="00CB64D0" w:rsidRDefault="00CB64D0" w:rsidP="00CB64D0">
            <w:pPr>
              <w:spacing w:line="240" w:lineRule="auto"/>
              <w:rPr>
                <w:rFonts w:eastAsia="Times New Roman" w:cs="Times New Roman"/>
                <w:szCs w:val="24"/>
                <w:lang w:eastAsia="es-ES"/>
              </w:rPr>
            </w:pPr>
            <w:r w:rsidRPr="00CB64D0">
              <w:rPr>
                <w:rFonts w:eastAsia="Times New Roman" w:cs="Times New Roman"/>
                <w:szCs w:val="24"/>
                <w:lang w:val="es-CO" w:eastAsia="es-ES"/>
              </w:rPr>
              <w:t>Impuesto sobre la Renta y Complementarios</w:t>
            </w:r>
          </w:p>
        </w:tc>
      </w:tr>
      <w:tr w:rsidR="00CB64D0" w:rsidRPr="00CB64D0" w14:paraId="31C42FA5" w14:textId="77777777" w:rsidTr="00CB64D0">
        <w:tc>
          <w:tcPr>
            <w:tcW w:w="1843" w:type="dxa"/>
            <w:tcBorders>
              <w:top w:val="nil"/>
              <w:left w:val="nil"/>
              <w:bottom w:val="nil"/>
              <w:right w:val="nil"/>
            </w:tcBorders>
            <w:shd w:val="clear" w:color="auto" w:fill="auto"/>
            <w:tcMar>
              <w:top w:w="0" w:type="dxa"/>
              <w:left w:w="108" w:type="dxa"/>
              <w:bottom w:w="0" w:type="dxa"/>
              <w:right w:w="108" w:type="dxa"/>
            </w:tcMar>
            <w:hideMark/>
          </w:tcPr>
          <w:p w14:paraId="57ACCD32" w14:textId="77777777" w:rsidR="00CB64D0" w:rsidRPr="00CB64D0" w:rsidRDefault="00CB64D0" w:rsidP="00CB64D0">
            <w:pPr>
              <w:spacing w:line="240" w:lineRule="auto"/>
              <w:rPr>
                <w:rFonts w:eastAsia="Times New Roman" w:cs="Times New Roman"/>
                <w:szCs w:val="24"/>
                <w:lang w:eastAsia="es-ES"/>
              </w:rPr>
            </w:pPr>
            <w:r w:rsidRPr="00CB64D0">
              <w:rPr>
                <w:rFonts w:eastAsia="Times New Roman" w:cs="Times New Roman"/>
                <w:b/>
                <w:bCs/>
                <w:szCs w:val="24"/>
                <w:lang w:val="es-CO" w:eastAsia="es-ES"/>
              </w:rPr>
              <w:t>Descriptores</w:t>
            </w:r>
          </w:p>
        </w:tc>
        <w:tc>
          <w:tcPr>
            <w:tcW w:w="284" w:type="dxa"/>
            <w:tcBorders>
              <w:top w:val="nil"/>
              <w:left w:val="nil"/>
              <w:bottom w:val="nil"/>
              <w:right w:val="nil"/>
            </w:tcBorders>
            <w:shd w:val="clear" w:color="auto" w:fill="auto"/>
            <w:tcMar>
              <w:top w:w="0" w:type="dxa"/>
              <w:left w:w="108" w:type="dxa"/>
              <w:bottom w:w="0" w:type="dxa"/>
              <w:right w:w="108" w:type="dxa"/>
            </w:tcMar>
            <w:hideMark/>
          </w:tcPr>
          <w:p w14:paraId="1B48D5BA" w14:textId="77777777" w:rsidR="00CB64D0" w:rsidRPr="00CB64D0" w:rsidRDefault="00CB64D0" w:rsidP="00CB64D0">
            <w:pPr>
              <w:spacing w:line="240" w:lineRule="auto"/>
              <w:jc w:val="left"/>
              <w:rPr>
                <w:rFonts w:eastAsia="Times New Roman" w:cs="Times New Roman"/>
                <w:szCs w:val="24"/>
                <w:lang w:eastAsia="es-ES"/>
              </w:rPr>
            </w:pPr>
          </w:p>
        </w:tc>
        <w:tc>
          <w:tcPr>
            <w:tcW w:w="283" w:type="dxa"/>
            <w:tcBorders>
              <w:top w:val="nil"/>
              <w:left w:val="nil"/>
              <w:bottom w:val="nil"/>
              <w:right w:val="nil"/>
            </w:tcBorders>
            <w:shd w:val="clear" w:color="auto" w:fill="auto"/>
            <w:tcMar>
              <w:top w:w="0" w:type="dxa"/>
              <w:left w:w="108" w:type="dxa"/>
              <w:bottom w:w="0" w:type="dxa"/>
              <w:right w:w="108" w:type="dxa"/>
            </w:tcMar>
            <w:hideMark/>
          </w:tcPr>
          <w:p w14:paraId="543BFCE3" w14:textId="77777777" w:rsidR="00CB64D0" w:rsidRPr="00CB64D0" w:rsidRDefault="00CB64D0" w:rsidP="00CB64D0">
            <w:pPr>
              <w:spacing w:line="240" w:lineRule="auto"/>
              <w:jc w:val="left"/>
              <w:rPr>
                <w:rFonts w:eastAsia="Times New Roman" w:cs="Times New Roman"/>
                <w:szCs w:val="24"/>
                <w:lang w:eastAsia="es-ES"/>
              </w:rPr>
            </w:pPr>
          </w:p>
        </w:tc>
        <w:tc>
          <w:tcPr>
            <w:tcW w:w="6094" w:type="dxa"/>
            <w:tcBorders>
              <w:top w:val="nil"/>
              <w:left w:val="nil"/>
              <w:bottom w:val="nil"/>
              <w:right w:val="nil"/>
            </w:tcBorders>
            <w:shd w:val="clear" w:color="auto" w:fill="auto"/>
            <w:tcMar>
              <w:top w:w="0" w:type="dxa"/>
              <w:left w:w="108" w:type="dxa"/>
              <w:bottom w:w="0" w:type="dxa"/>
              <w:right w:w="108" w:type="dxa"/>
            </w:tcMar>
            <w:hideMark/>
          </w:tcPr>
          <w:p w14:paraId="1C6172C6" w14:textId="77777777" w:rsidR="00CB64D0" w:rsidRPr="00CB64D0" w:rsidRDefault="00CB64D0" w:rsidP="00CB64D0">
            <w:pPr>
              <w:spacing w:line="240" w:lineRule="auto"/>
              <w:rPr>
                <w:rFonts w:eastAsia="Times New Roman" w:cs="Times New Roman"/>
                <w:szCs w:val="24"/>
                <w:lang w:eastAsia="es-ES"/>
              </w:rPr>
            </w:pPr>
            <w:r w:rsidRPr="00CB64D0">
              <w:rPr>
                <w:rFonts w:eastAsia="Times New Roman" w:cs="Times New Roman"/>
                <w:szCs w:val="24"/>
                <w:lang w:val="es-CO" w:eastAsia="es-ES"/>
              </w:rPr>
              <w:t>Dividendos CAPITALIZACIONES.</w:t>
            </w:r>
          </w:p>
          <w:p w14:paraId="617CD564" w14:textId="77777777" w:rsidR="00CB64D0" w:rsidRPr="00CB64D0" w:rsidRDefault="00CB64D0" w:rsidP="00CB64D0">
            <w:pPr>
              <w:spacing w:line="240" w:lineRule="auto"/>
              <w:rPr>
                <w:rFonts w:eastAsia="Times New Roman" w:cs="Times New Roman"/>
                <w:szCs w:val="24"/>
                <w:lang w:eastAsia="es-ES"/>
              </w:rPr>
            </w:pPr>
            <w:r w:rsidRPr="00CB64D0">
              <w:rPr>
                <w:rFonts w:eastAsia="Times New Roman" w:cs="Times New Roman"/>
                <w:szCs w:val="24"/>
                <w:lang w:val="es-CO" w:eastAsia="es-ES"/>
              </w:rPr>
              <w:t>CAPITALIZACIONES NO GRAVADAS PARA LOS SOCIOS O ACCIONISTAS.</w:t>
            </w:r>
          </w:p>
          <w:p w14:paraId="0D1357C4" w14:textId="77777777" w:rsidR="00CB64D0" w:rsidRPr="00CB64D0" w:rsidRDefault="00CB64D0" w:rsidP="00CB64D0">
            <w:pPr>
              <w:spacing w:line="240" w:lineRule="auto"/>
              <w:rPr>
                <w:rFonts w:eastAsia="Times New Roman" w:cs="Times New Roman"/>
                <w:szCs w:val="24"/>
                <w:lang w:eastAsia="es-ES"/>
              </w:rPr>
            </w:pPr>
            <w:r w:rsidRPr="00CB64D0">
              <w:rPr>
                <w:rFonts w:eastAsia="Times New Roman" w:cs="Times New Roman"/>
                <w:szCs w:val="24"/>
                <w:lang w:val="es-CO" w:eastAsia="es-ES"/>
              </w:rPr>
              <w:t>Capitalizaciones no Gravadas para los Socios</w:t>
            </w:r>
          </w:p>
          <w:p w14:paraId="3A1AA609" w14:textId="77777777" w:rsidR="00CB64D0" w:rsidRPr="00CB64D0" w:rsidRDefault="00CB64D0" w:rsidP="00CB64D0">
            <w:pPr>
              <w:spacing w:line="240" w:lineRule="auto"/>
              <w:rPr>
                <w:rFonts w:eastAsia="Times New Roman" w:cs="Times New Roman"/>
                <w:szCs w:val="24"/>
                <w:lang w:eastAsia="es-ES"/>
              </w:rPr>
            </w:pPr>
            <w:r w:rsidRPr="00CB64D0">
              <w:rPr>
                <w:rFonts w:eastAsia="Times New Roman" w:cs="Times New Roman"/>
                <w:szCs w:val="24"/>
                <w:lang w:val="es-CO" w:eastAsia="es-ES"/>
              </w:rPr>
              <w:t>Capitalizaciones no Gravadas para los Accionistas</w:t>
            </w:r>
          </w:p>
          <w:p w14:paraId="2B608B13" w14:textId="77777777" w:rsidR="00CB64D0" w:rsidRPr="00CB64D0" w:rsidRDefault="00CB64D0" w:rsidP="00CB64D0">
            <w:pPr>
              <w:spacing w:line="240" w:lineRule="auto"/>
              <w:rPr>
                <w:rFonts w:eastAsia="Times New Roman" w:cs="Times New Roman"/>
                <w:szCs w:val="24"/>
                <w:lang w:eastAsia="es-ES"/>
              </w:rPr>
            </w:pPr>
            <w:r w:rsidRPr="00CB64D0">
              <w:rPr>
                <w:rFonts w:eastAsia="Times New Roman" w:cs="Times New Roman"/>
                <w:szCs w:val="24"/>
                <w:lang w:val="es-CO" w:eastAsia="es-ES"/>
              </w:rPr>
              <w:t>Ingresos no Constitutivos de Renta</w:t>
            </w:r>
          </w:p>
        </w:tc>
      </w:tr>
      <w:tr w:rsidR="00CB64D0" w:rsidRPr="00CB64D0" w14:paraId="39D73F7A" w14:textId="77777777" w:rsidTr="00CB64D0">
        <w:tc>
          <w:tcPr>
            <w:tcW w:w="1843" w:type="dxa"/>
            <w:tcBorders>
              <w:top w:val="nil"/>
              <w:left w:val="nil"/>
              <w:bottom w:val="nil"/>
              <w:right w:val="nil"/>
            </w:tcBorders>
            <w:shd w:val="clear" w:color="auto" w:fill="auto"/>
            <w:tcMar>
              <w:top w:w="0" w:type="dxa"/>
              <w:left w:w="108" w:type="dxa"/>
              <w:bottom w:w="0" w:type="dxa"/>
              <w:right w:w="108" w:type="dxa"/>
            </w:tcMar>
            <w:hideMark/>
          </w:tcPr>
          <w:p w14:paraId="4E649B51" w14:textId="77777777" w:rsidR="00CB64D0" w:rsidRPr="00CB64D0" w:rsidRDefault="00CB64D0" w:rsidP="00CB64D0">
            <w:pPr>
              <w:spacing w:line="240" w:lineRule="auto"/>
              <w:rPr>
                <w:rFonts w:eastAsia="Times New Roman" w:cs="Times New Roman"/>
                <w:szCs w:val="24"/>
                <w:lang w:eastAsia="es-ES"/>
              </w:rPr>
            </w:pPr>
            <w:r w:rsidRPr="00CB64D0">
              <w:rPr>
                <w:rFonts w:eastAsia="Times New Roman" w:cs="Times New Roman"/>
                <w:b/>
                <w:bCs/>
                <w:szCs w:val="24"/>
                <w:lang w:val="es-CO" w:eastAsia="es-ES"/>
              </w:rPr>
              <w:t>Fuentes formales</w:t>
            </w:r>
          </w:p>
        </w:tc>
        <w:tc>
          <w:tcPr>
            <w:tcW w:w="284" w:type="dxa"/>
            <w:tcBorders>
              <w:top w:val="nil"/>
              <w:left w:val="nil"/>
              <w:bottom w:val="nil"/>
              <w:right w:val="nil"/>
            </w:tcBorders>
            <w:shd w:val="clear" w:color="auto" w:fill="auto"/>
            <w:tcMar>
              <w:top w:w="0" w:type="dxa"/>
              <w:left w:w="108" w:type="dxa"/>
              <w:bottom w:w="0" w:type="dxa"/>
              <w:right w:w="108" w:type="dxa"/>
            </w:tcMar>
            <w:hideMark/>
          </w:tcPr>
          <w:p w14:paraId="04A74C1E" w14:textId="77777777" w:rsidR="00CB64D0" w:rsidRPr="00CB64D0" w:rsidRDefault="00CB64D0" w:rsidP="00CB64D0">
            <w:pPr>
              <w:spacing w:line="240" w:lineRule="auto"/>
              <w:jc w:val="left"/>
              <w:rPr>
                <w:rFonts w:eastAsia="Times New Roman" w:cs="Times New Roman"/>
                <w:szCs w:val="24"/>
                <w:lang w:eastAsia="es-ES"/>
              </w:rPr>
            </w:pPr>
          </w:p>
        </w:tc>
        <w:tc>
          <w:tcPr>
            <w:tcW w:w="283" w:type="dxa"/>
            <w:tcBorders>
              <w:top w:val="nil"/>
              <w:left w:val="nil"/>
              <w:bottom w:val="nil"/>
              <w:right w:val="nil"/>
            </w:tcBorders>
            <w:shd w:val="clear" w:color="auto" w:fill="auto"/>
            <w:tcMar>
              <w:top w:w="0" w:type="dxa"/>
              <w:left w:w="108" w:type="dxa"/>
              <w:bottom w:w="0" w:type="dxa"/>
              <w:right w:w="108" w:type="dxa"/>
            </w:tcMar>
            <w:hideMark/>
          </w:tcPr>
          <w:p w14:paraId="211FDEA3" w14:textId="77777777" w:rsidR="00CB64D0" w:rsidRPr="00CB64D0" w:rsidRDefault="00CB64D0" w:rsidP="00CB64D0">
            <w:pPr>
              <w:spacing w:line="240" w:lineRule="auto"/>
              <w:jc w:val="left"/>
              <w:rPr>
                <w:rFonts w:eastAsia="Times New Roman" w:cs="Times New Roman"/>
                <w:szCs w:val="24"/>
                <w:lang w:eastAsia="es-ES"/>
              </w:rPr>
            </w:pPr>
          </w:p>
        </w:tc>
        <w:tc>
          <w:tcPr>
            <w:tcW w:w="6094" w:type="dxa"/>
            <w:tcBorders>
              <w:top w:val="nil"/>
              <w:left w:val="nil"/>
              <w:bottom w:val="nil"/>
              <w:right w:val="nil"/>
            </w:tcBorders>
            <w:shd w:val="clear" w:color="auto" w:fill="auto"/>
            <w:tcMar>
              <w:top w:w="0" w:type="dxa"/>
              <w:left w:w="108" w:type="dxa"/>
              <w:bottom w:w="0" w:type="dxa"/>
              <w:right w:w="108" w:type="dxa"/>
            </w:tcMar>
            <w:hideMark/>
          </w:tcPr>
          <w:p w14:paraId="5EACCE7B" w14:textId="77777777" w:rsidR="00CB64D0" w:rsidRPr="00CB64D0" w:rsidRDefault="00CB64D0" w:rsidP="00CB64D0">
            <w:pPr>
              <w:spacing w:line="240" w:lineRule="auto"/>
              <w:rPr>
                <w:rFonts w:eastAsia="Times New Roman" w:cs="Times New Roman"/>
                <w:szCs w:val="24"/>
                <w:lang w:eastAsia="es-ES"/>
              </w:rPr>
            </w:pPr>
            <w:r w:rsidRPr="00CB64D0">
              <w:rPr>
                <w:rFonts w:eastAsia="Times New Roman" w:cs="Times New Roman"/>
                <w:szCs w:val="24"/>
                <w:lang w:val="es-CO" w:eastAsia="es-ES"/>
              </w:rPr>
              <w:t>Artículos </w:t>
            </w:r>
            <w:hyperlink r:id="rId4" w:tooltip="Estatuto Tributario CETA" w:history="1">
              <w:r w:rsidRPr="00CB64D0">
                <w:rPr>
                  <w:rFonts w:eastAsia="Times New Roman" w:cs="Times New Roman"/>
                  <w:szCs w:val="24"/>
                  <w:lang w:val="es-CO" w:eastAsia="es-ES"/>
                </w:rPr>
                <w:t>30</w:t>
              </w:r>
            </w:hyperlink>
            <w:r w:rsidRPr="00CB64D0">
              <w:rPr>
                <w:rFonts w:eastAsia="Times New Roman" w:cs="Times New Roman"/>
                <w:szCs w:val="24"/>
                <w:lang w:val="es-CO" w:eastAsia="es-ES"/>
              </w:rPr>
              <w:t>, </w:t>
            </w:r>
            <w:hyperlink r:id="rId5" w:tooltip="Estatuto Tributario CETA" w:history="1">
              <w:r w:rsidRPr="00CB64D0">
                <w:rPr>
                  <w:rFonts w:eastAsia="Times New Roman" w:cs="Times New Roman"/>
                  <w:szCs w:val="24"/>
                  <w:lang w:val="es-CO" w:eastAsia="es-ES"/>
                </w:rPr>
                <w:t>36-3</w:t>
              </w:r>
            </w:hyperlink>
            <w:r w:rsidRPr="00CB64D0">
              <w:rPr>
                <w:rFonts w:eastAsia="Times New Roman" w:cs="Times New Roman"/>
                <w:szCs w:val="24"/>
                <w:lang w:val="es-CO" w:eastAsia="es-ES"/>
              </w:rPr>
              <w:t>, </w:t>
            </w:r>
            <w:hyperlink r:id="rId6" w:tooltip="Estatuto Tributario CETA" w:history="1">
              <w:r w:rsidRPr="00CB64D0">
                <w:rPr>
                  <w:rFonts w:eastAsia="Times New Roman" w:cs="Times New Roman"/>
                  <w:szCs w:val="24"/>
                  <w:lang w:val="es-CO" w:eastAsia="es-ES"/>
                </w:rPr>
                <w:t>48</w:t>
              </w:r>
            </w:hyperlink>
            <w:r w:rsidRPr="00CB64D0">
              <w:rPr>
                <w:rFonts w:eastAsia="Times New Roman" w:cs="Times New Roman"/>
                <w:szCs w:val="24"/>
                <w:lang w:val="es-CO" w:eastAsia="es-ES"/>
              </w:rPr>
              <w:t>, </w:t>
            </w:r>
            <w:hyperlink r:id="rId7" w:tooltip="Estatuto Tributario CETA" w:history="1">
              <w:r w:rsidRPr="00CB64D0">
                <w:rPr>
                  <w:rFonts w:eastAsia="Times New Roman" w:cs="Times New Roman"/>
                  <w:szCs w:val="24"/>
                  <w:lang w:val="es-CO" w:eastAsia="es-ES"/>
                </w:rPr>
                <w:t>49</w:t>
              </w:r>
            </w:hyperlink>
            <w:r w:rsidRPr="00CB64D0">
              <w:rPr>
                <w:rFonts w:eastAsia="Times New Roman" w:cs="Times New Roman"/>
                <w:szCs w:val="24"/>
                <w:lang w:val="es-CO" w:eastAsia="es-ES"/>
              </w:rPr>
              <w:t>, </w:t>
            </w:r>
            <w:hyperlink r:id="rId8" w:tooltip="Estatuto Tributario CETA" w:history="1">
              <w:r w:rsidRPr="00CB64D0">
                <w:rPr>
                  <w:rFonts w:eastAsia="Times New Roman" w:cs="Times New Roman"/>
                  <w:szCs w:val="24"/>
                  <w:lang w:val="es-CO" w:eastAsia="es-ES"/>
                </w:rPr>
                <w:t>242</w:t>
              </w:r>
            </w:hyperlink>
            <w:r w:rsidRPr="00CB64D0">
              <w:rPr>
                <w:rFonts w:eastAsia="Times New Roman" w:cs="Times New Roman"/>
                <w:szCs w:val="24"/>
                <w:lang w:val="es-CO" w:eastAsia="es-ES"/>
              </w:rPr>
              <w:t>, </w:t>
            </w:r>
            <w:hyperlink r:id="rId9" w:tooltip="Estatuto Tributario CETA" w:history="1">
              <w:r w:rsidRPr="00CB64D0">
                <w:rPr>
                  <w:rFonts w:eastAsia="Times New Roman" w:cs="Times New Roman"/>
                  <w:szCs w:val="24"/>
                  <w:lang w:val="es-CO" w:eastAsia="es-ES"/>
                </w:rPr>
                <w:t>242-1</w:t>
              </w:r>
            </w:hyperlink>
            <w:r w:rsidRPr="00CB64D0">
              <w:rPr>
                <w:rFonts w:eastAsia="Times New Roman" w:cs="Times New Roman"/>
                <w:szCs w:val="24"/>
                <w:lang w:val="es-CO" w:eastAsia="es-ES"/>
              </w:rPr>
              <w:t>, </w:t>
            </w:r>
            <w:hyperlink r:id="rId10" w:tooltip="Estatuto Tributario CETA" w:history="1">
              <w:r w:rsidRPr="00CB64D0">
                <w:rPr>
                  <w:rFonts w:eastAsia="Times New Roman" w:cs="Times New Roman"/>
                  <w:szCs w:val="24"/>
                  <w:lang w:val="es-CO" w:eastAsia="es-ES"/>
                </w:rPr>
                <w:t>245</w:t>
              </w:r>
            </w:hyperlink>
            <w:r w:rsidRPr="00CB64D0">
              <w:rPr>
                <w:rFonts w:eastAsia="Times New Roman" w:cs="Times New Roman"/>
                <w:szCs w:val="24"/>
                <w:lang w:val="es-CO" w:eastAsia="es-ES"/>
              </w:rPr>
              <w:t> y </w:t>
            </w:r>
            <w:hyperlink r:id="rId11" w:tooltip="Estatuto Tributario CETA" w:history="1">
              <w:r w:rsidRPr="00CB64D0">
                <w:rPr>
                  <w:rFonts w:eastAsia="Times New Roman" w:cs="Times New Roman"/>
                  <w:szCs w:val="24"/>
                  <w:lang w:val="es-CO" w:eastAsia="es-ES"/>
                </w:rPr>
                <w:t>246</w:t>
              </w:r>
            </w:hyperlink>
            <w:r w:rsidRPr="00CB64D0">
              <w:rPr>
                <w:rFonts w:eastAsia="Times New Roman" w:cs="Times New Roman"/>
                <w:szCs w:val="24"/>
                <w:lang w:val="es-CO" w:eastAsia="es-ES"/>
              </w:rPr>
              <w:t> del Estatuto Tributario</w:t>
            </w:r>
          </w:p>
          <w:p w14:paraId="267A3886" w14:textId="77777777" w:rsidR="00CB64D0" w:rsidRPr="00CB64D0" w:rsidRDefault="00CB64D0" w:rsidP="00CB64D0">
            <w:pPr>
              <w:spacing w:line="240" w:lineRule="auto"/>
              <w:rPr>
                <w:rFonts w:eastAsia="Times New Roman" w:cs="Times New Roman"/>
                <w:szCs w:val="24"/>
                <w:lang w:eastAsia="es-ES"/>
              </w:rPr>
            </w:pPr>
            <w:r w:rsidRPr="00CB64D0">
              <w:rPr>
                <w:rFonts w:eastAsia="Times New Roman" w:cs="Times New Roman"/>
                <w:szCs w:val="24"/>
                <w:lang w:val="es-CO" w:eastAsia="es-ES"/>
              </w:rPr>
              <w:t>Artículo 150 del Código de Comercio</w:t>
            </w:r>
          </w:p>
        </w:tc>
      </w:tr>
    </w:tbl>
    <w:p w14:paraId="11AAFA26" w14:textId="77777777" w:rsidR="00CB64D0" w:rsidRPr="00CB64D0" w:rsidRDefault="00CB64D0" w:rsidP="00CB64D0">
      <w:pPr>
        <w:spacing w:line="240" w:lineRule="auto"/>
        <w:rPr>
          <w:rFonts w:eastAsia="Times New Roman" w:cs="Times New Roman"/>
          <w:szCs w:val="24"/>
          <w:lang w:eastAsia="es-ES"/>
        </w:rPr>
      </w:pPr>
      <w:r w:rsidRPr="00CB64D0">
        <w:rPr>
          <w:rFonts w:eastAsia="Times New Roman" w:cs="Times New Roman"/>
          <w:szCs w:val="24"/>
          <w:lang w:eastAsia="es-ES"/>
        </w:rPr>
        <w:t> </w:t>
      </w:r>
    </w:p>
    <w:p w14:paraId="674B3A93" w14:textId="77777777" w:rsidR="00CB64D0" w:rsidRPr="00CB64D0" w:rsidRDefault="00CB64D0" w:rsidP="00CB64D0">
      <w:pPr>
        <w:spacing w:line="240" w:lineRule="auto"/>
        <w:rPr>
          <w:rFonts w:eastAsia="Times New Roman" w:cs="Times New Roman"/>
          <w:szCs w:val="24"/>
          <w:lang w:eastAsia="es-ES"/>
        </w:rPr>
      </w:pPr>
      <w:r w:rsidRPr="00CB64D0">
        <w:rPr>
          <w:rFonts w:eastAsia="Times New Roman" w:cs="Times New Roman"/>
          <w:szCs w:val="24"/>
          <w:lang w:val="es-CO" w:eastAsia="es-ES"/>
        </w:rPr>
        <w:t>Cordial saludo, señora Karen.</w:t>
      </w:r>
    </w:p>
    <w:p w14:paraId="4C131123" w14:textId="77777777" w:rsidR="00CB64D0" w:rsidRPr="00CB64D0" w:rsidRDefault="00CB64D0" w:rsidP="00CB64D0">
      <w:pPr>
        <w:spacing w:line="240" w:lineRule="auto"/>
        <w:rPr>
          <w:rFonts w:eastAsia="Times New Roman" w:cs="Times New Roman"/>
          <w:szCs w:val="24"/>
          <w:lang w:eastAsia="es-ES"/>
        </w:rPr>
      </w:pPr>
      <w:r w:rsidRPr="00CB64D0">
        <w:rPr>
          <w:rFonts w:eastAsia="Times New Roman" w:cs="Times New Roman"/>
          <w:szCs w:val="24"/>
          <w:lang w:eastAsia="es-ES"/>
        </w:rPr>
        <w:t> </w:t>
      </w:r>
    </w:p>
    <w:p w14:paraId="12854F99" w14:textId="77777777" w:rsidR="00CB64D0" w:rsidRPr="00CB64D0" w:rsidRDefault="00CB64D0" w:rsidP="00CB64D0">
      <w:pPr>
        <w:spacing w:line="240" w:lineRule="auto"/>
        <w:rPr>
          <w:rFonts w:eastAsia="Times New Roman" w:cs="Times New Roman"/>
          <w:szCs w:val="24"/>
          <w:lang w:eastAsia="es-ES"/>
        </w:rPr>
      </w:pPr>
      <w:r w:rsidRPr="00CB64D0">
        <w:rPr>
          <w:rFonts w:eastAsia="Times New Roman" w:cs="Times New Roman"/>
          <w:szCs w:val="24"/>
          <w:lang w:val="es-CO" w:eastAsia="es-ES"/>
        </w:rPr>
        <w:t>De conformidad con el artículo 20 del Decreto 4048 de 2008, este Despacho está facultado para absolver las consultas escritas que se formulen sobre la interpretación y aplicación de las normas tributarias, aduaneras y cambiarias, en el marco de las competencias de la Dirección de Impuestos y Aduanas Nacionales. Por consiguiente, no corresponde a este Despacho, en ejercicio de las funciones descritas anteriormente, prestar asesoría específica para atender casos particulares, ni juzgar o calificar las decisiones tomadas por otras dependencias o entidades.</w:t>
      </w:r>
    </w:p>
    <w:p w14:paraId="1F4B58EE" w14:textId="77777777" w:rsidR="00CB64D0" w:rsidRPr="00CB64D0" w:rsidRDefault="00CB64D0" w:rsidP="00CB64D0">
      <w:pPr>
        <w:spacing w:line="240" w:lineRule="auto"/>
        <w:rPr>
          <w:rFonts w:eastAsia="Times New Roman" w:cs="Times New Roman"/>
          <w:szCs w:val="24"/>
          <w:lang w:eastAsia="es-ES"/>
        </w:rPr>
      </w:pPr>
      <w:r w:rsidRPr="00CB64D0">
        <w:rPr>
          <w:rFonts w:eastAsia="Times New Roman" w:cs="Times New Roman"/>
          <w:szCs w:val="24"/>
          <w:lang w:eastAsia="es-ES"/>
        </w:rPr>
        <w:t> </w:t>
      </w:r>
    </w:p>
    <w:p w14:paraId="289F6CB7" w14:textId="77777777" w:rsidR="00CB64D0" w:rsidRPr="00CB64D0" w:rsidRDefault="00CB64D0" w:rsidP="00CB64D0">
      <w:pPr>
        <w:spacing w:line="240" w:lineRule="auto"/>
        <w:rPr>
          <w:rFonts w:eastAsia="Times New Roman" w:cs="Times New Roman"/>
          <w:szCs w:val="24"/>
          <w:lang w:eastAsia="es-ES"/>
        </w:rPr>
      </w:pPr>
      <w:r w:rsidRPr="00CB64D0">
        <w:rPr>
          <w:rFonts w:eastAsia="Times New Roman" w:cs="Times New Roman"/>
          <w:szCs w:val="24"/>
          <w:lang w:val="es-CO" w:eastAsia="es-ES"/>
        </w:rPr>
        <w:t>Mediante el radicado de la referencia, la peticionaria consulta:</w:t>
      </w:r>
    </w:p>
    <w:p w14:paraId="071A828C" w14:textId="77777777" w:rsidR="00CB64D0" w:rsidRPr="00CB64D0" w:rsidRDefault="00CB64D0" w:rsidP="00CB64D0">
      <w:pPr>
        <w:spacing w:line="240" w:lineRule="auto"/>
        <w:ind w:left="284"/>
        <w:rPr>
          <w:rFonts w:eastAsia="Times New Roman" w:cs="Times New Roman"/>
          <w:szCs w:val="24"/>
          <w:lang w:eastAsia="es-ES"/>
        </w:rPr>
      </w:pPr>
      <w:r w:rsidRPr="00CB64D0">
        <w:rPr>
          <w:rFonts w:eastAsia="Times New Roman" w:cs="Times New Roman"/>
          <w:szCs w:val="24"/>
          <w:lang w:eastAsia="es-ES"/>
        </w:rPr>
        <w:t> </w:t>
      </w:r>
    </w:p>
    <w:p w14:paraId="1F0EF513" w14:textId="77777777" w:rsidR="00CB64D0" w:rsidRPr="00CB64D0" w:rsidRDefault="00CB64D0" w:rsidP="00CB64D0">
      <w:pPr>
        <w:spacing w:line="240" w:lineRule="auto"/>
        <w:ind w:left="284"/>
        <w:rPr>
          <w:rFonts w:eastAsia="Times New Roman" w:cs="Times New Roman"/>
          <w:szCs w:val="24"/>
          <w:lang w:eastAsia="es-ES"/>
        </w:rPr>
      </w:pPr>
      <w:r w:rsidRPr="00CB64D0">
        <w:rPr>
          <w:rFonts w:eastAsia="Times New Roman" w:cs="Times New Roman"/>
          <w:i/>
          <w:iCs/>
          <w:szCs w:val="24"/>
          <w:lang w:val="es-CO" w:eastAsia="es-ES"/>
        </w:rPr>
        <w:t>“¿Si una empresa reparte sus utilidades del 2018 en acciones debo aplicar retención en la fuente? Tengo la confusión ya que el estatuto tributario en el </w:t>
      </w:r>
      <w:hyperlink r:id="rId12" w:tooltip="Estatuto Tributario CETA" w:history="1">
        <w:r w:rsidRPr="00CB64D0">
          <w:rPr>
            <w:rFonts w:eastAsia="Times New Roman" w:cs="Times New Roman"/>
            <w:i/>
            <w:iCs/>
            <w:szCs w:val="24"/>
            <w:lang w:val="es-CO" w:eastAsia="es-ES"/>
          </w:rPr>
          <w:t>artículo 36-3</w:t>
        </w:r>
      </w:hyperlink>
      <w:r w:rsidRPr="00CB64D0">
        <w:rPr>
          <w:rFonts w:eastAsia="Times New Roman" w:cs="Times New Roman"/>
          <w:i/>
          <w:iCs/>
          <w:szCs w:val="24"/>
          <w:lang w:val="es-CO" w:eastAsia="es-ES"/>
        </w:rPr>
        <w:t> nos dice que si estas se capitalizan no se gravan, pero a su vez leí un concepto de la DIAN específicamente el 100208221-000018 del 2018 donde se indica que si deben ser aplicada la retención. Me gustaría saber si este concepto sigue en firme o si debo o no aplicar la retención a dichas utilidades que se capitalizaron”.</w:t>
      </w:r>
    </w:p>
    <w:p w14:paraId="1BDCA6EE" w14:textId="77777777" w:rsidR="00CB64D0" w:rsidRPr="00CB64D0" w:rsidRDefault="00CB64D0" w:rsidP="00CB64D0">
      <w:pPr>
        <w:spacing w:line="240" w:lineRule="auto"/>
        <w:rPr>
          <w:rFonts w:eastAsia="Times New Roman" w:cs="Times New Roman"/>
          <w:szCs w:val="24"/>
          <w:lang w:eastAsia="es-ES"/>
        </w:rPr>
      </w:pPr>
      <w:r w:rsidRPr="00CB64D0">
        <w:rPr>
          <w:rFonts w:eastAsia="Times New Roman" w:cs="Times New Roman"/>
          <w:szCs w:val="24"/>
          <w:lang w:eastAsia="es-ES"/>
        </w:rPr>
        <w:t> </w:t>
      </w:r>
    </w:p>
    <w:p w14:paraId="7AFCC7CF" w14:textId="77777777" w:rsidR="00CB64D0" w:rsidRPr="00CB64D0" w:rsidRDefault="00CB64D0" w:rsidP="00CB64D0">
      <w:pPr>
        <w:spacing w:line="240" w:lineRule="auto"/>
        <w:rPr>
          <w:rFonts w:eastAsia="Times New Roman" w:cs="Times New Roman"/>
          <w:szCs w:val="24"/>
          <w:lang w:eastAsia="es-ES"/>
        </w:rPr>
      </w:pPr>
      <w:r w:rsidRPr="00CB64D0">
        <w:rPr>
          <w:rFonts w:eastAsia="Times New Roman" w:cs="Times New Roman"/>
          <w:szCs w:val="24"/>
          <w:lang w:val="es-CO" w:eastAsia="es-ES"/>
        </w:rPr>
        <w:t>Sobre el particular, las consideraciones de este Despacho son las siguientes:</w:t>
      </w:r>
    </w:p>
    <w:p w14:paraId="4E8A37C0" w14:textId="77777777" w:rsidR="00CB64D0" w:rsidRPr="00CB64D0" w:rsidRDefault="00CB64D0" w:rsidP="00CB64D0">
      <w:pPr>
        <w:spacing w:line="240" w:lineRule="auto"/>
        <w:rPr>
          <w:rFonts w:eastAsia="Times New Roman" w:cs="Times New Roman"/>
          <w:szCs w:val="24"/>
          <w:lang w:eastAsia="es-ES"/>
        </w:rPr>
      </w:pPr>
      <w:r w:rsidRPr="00CB64D0">
        <w:rPr>
          <w:rFonts w:eastAsia="Times New Roman" w:cs="Times New Roman"/>
          <w:szCs w:val="24"/>
          <w:lang w:eastAsia="es-ES"/>
        </w:rPr>
        <w:t> </w:t>
      </w:r>
    </w:p>
    <w:p w14:paraId="27899BCA" w14:textId="77777777" w:rsidR="00CB64D0" w:rsidRPr="00CB64D0" w:rsidRDefault="00CB64D0" w:rsidP="00CB64D0">
      <w:pPr>
        <w:spacing w:line="240" w:lineRule="auto"/>
        <w:rPr>
          <w:rFonts w:eastAsia="Times New Roman" w:cs="Times New Roman"/>
          <w:szCs w:val="24"/>
          <w:lang w:eastAsia="es-ES"/>
        </w:rPr>
      </w:pPr>
      <w:r w:rsidRPr="00CB64D0">
        <w:rPr>
          <w:rFonts w:eastAsia="Times New Roman" w:cs="Times New Roman"/>
          <w:b/>
          <w:bCs/>
          <w:szCs w:val="24"/>
          <w:lang w:val="es-CO" w:eastAsia="es-ES"/>
        </w:rPr>
        <w:t>1. Comentarios preliminares</w:t>
      </w:r>
    </w:p>
    <w:p w14:paraId="652A6275" w14:textId="77777777" w:rsidR="00CB64D0" w:rsidRPr="00CB64D0" w:rsidRDefault="00CB64D0" w:rsidP="00CB64D0">
      <w:pPr>
        <w:spacing w:line="240" w:lineRule="auto"/>
        <w:rPr>
          <w:rFonts w:eastAsia="Times New Roman" w:cs="Times New Roman"/>
          <w:szCs w:val="24"/>
          <w:lang w:eastAsia="es-ES"/>
        </w:rPr>
      </w:pPr>
      <w:r w:rsidRPr="00CB64D0">
        <w:rPr>
          <w:rFonts w:eastAsia="Times New Roman" w:cs="Times New Roman"/>
          <w:szCs w:val="24"/>
          <w:lang w:eastAsia="es-ES"/>
        </w:rPr>
        <w:t> </w:t>
      </w:r>
    </w:p>
    <w:p w14:paraId="261006AF" w14:textId="77777777" w:rsidR="00CB64D0" w:rsidRPr="00CB64D0" w:rsidRDefault="00CB64D0" w:rsidP="00CB64D0">
      <w:pPr>
        <w:spacing w:line="240" w:lineRule="auto"/>
        <w:rPr>
          <w:rFonts w:eastAsia="Times New Roman" w:cs="Times New Roman"/>
          <w:szCs w:val="24"/>
          <w:lang w:eastAsia="es-ES"/>
        </w:rPr>
      </w:pPr>
      <w:r w:rsidRPr="00CB64D0">
        <w:rPr>
          <w:rFonts w:eastAsia="Times New Roman" w:cs="Times New Roman"/>
          <w:szCs w:val="24"/>
          <w:lang w:val="es-CO" w:eastAsia="es-ES"/>
        </w:rPr>
        <w:t>A. </w:t>
      </w:r>
      <w:r w:rsidRPr="00CB64D0">
        <w:rPr>
          <w:rFonts w:eastAsia="Times New Roman" w:cs="Times New Roman"/>
          <w:szCs w:val="24"/>
          <w:u w:val="single"/>
          <w:lang w:val="es-CO" w:eastAsia="es-ES"/>
        </w:rPr>
        <w:t>Concepto de dividendos</w:t>
      </w:r>
    </w:p>
    <w:p w14:paraId="4FDD3BCB" w14:textId="77777777" w:rsidR="00CB64D0" w:rsidRPr="00CB64D0" w:rsidRDefault="00CB64D0" w:rsidP="00CB64D0">
      <w:pPr>
        <w:spacing w:line="240" w:lineRule="auto"/>
        <w:rPr>
          <w:rFonts w:eastAsia="Times New Roman" w:cs="Times New Roman"/>
          <w:szCs w:val="24"/>
          <w:lang w:eastAsia="es-ES"/>
        </w:rPr>
      </w:pPr>
      <w:r w:rsidRPr="00CB64D0">
        <w:rPr>
          <w:rFonts w:eastAsia="Times New Roman" w:cs="Times New Roman"/>
          <w:szCs w:val="24"/>
          <w:lang w:eastAsia="es-ES"/>
        </w:rPr>
        <w:t> </w:t>
      </w:r>
    </w:p>
    <w:p w14:paraId="754BBAE0" w14:textId="77777777" w:rsidR="00CB64D0" w:rsidRPr="00CB64D0" w:rsidRDefault="00CB64D0" w:rsidP="00CB64D0">
      <w:pPr>
        <w:spacing w:line="240" w:lineRule="auto"/>
        <w:rPr>
          <w:rFonts w:eastAsia="Times New Roman" w:cs="Times New Roman"/>
          <w:szCs w:val="24"/>
          <w:lang w:eastAsia="es-ES"/>
        </w:rPr>
      </w:pPr>
      <w:r w:rsidRPr="00CB64D0">
        <w:rPr>
          <w:rFonts w:eastAsia="Times New Roman" w:cs="Times New Roman"/>
          <w:szCs w:val="24"/>
          <w:lang w:val="es-CO" w:eastAsia="es-ES"/>
        </w:rPr>
        <w:t>El </w:t>
      </w:r>
      <w:hyperlink r:id="rId13" w:tooltip="Estatuto Tributario CETA" w:history="1">
        <w:r w:rsidRPr="00CB64D0">
          <w:rPr>
            <w:rFonts w:eastAsia="Times New Roman" w:cs="Times New Roman"/>
            <w:szCs w:val="24"/>
            <w:lang w:val="es-CO" w:eastAsia="es-ES"/>
          </w:rPr>
          <w:t>artículo 30 </w:t>
        </w:r>
      </w:hyperlink>
      <w:r w:rsidRPr="00CB64D0">
        <w:rPr>
          <w:rFonts w:eastAsia="Times New Roman" w:cs="Times New Roman"/>
          <w:szCs w:val="24"/>
          <w:lang w:val="es-CO" w:eastAsia="es-ES"/>
        </w:rPr>
        <w:t>del Estatuto Tributario establece de la siguiente forma el concepto de dividendos:</w:t>
      </w:r>
    </w:p>
    <w:p w14:paraId="754D254C" w14:textId="77777777" w:rsidR="00CB64D0" w:rsidRPr="00CB64D0" w:rsidRDefault="00CB64D0" w:rsidP="00CB64D0">
      <w:pPr>
        <w:spacing w:line="240" w:lineRule="auto"/>
        <w:ind w:left="284"/>
        <w:rPr>
          <w:rFonts w:eastAsia="Times New Roman" w:cs="Times New Roman"/>
          <w:szCs w:val="24"/>
          <w:lang w:eastAsia="es-ES"/>
        </w:rPr>
      </w:pPr>
      <w:r w:rsidRPr="00CB64D0">
        <w:rPr>
          <w:rFonts w:eastAsia="Times New Roman" w:cs="Times New Roman"/>
          <w:szCs w:val="24"/>
          <w:lang w:eastAsia="es-ES"/>
        </w:rPr>
        <w:t> </w:t>
      </w:r>
    </w:p>
    <w:p w14:paraId="2B9CD39D" w14:textId="77777777" w:rsidR="00CB64D0" w:rsidRPr="00CB64D0" w:rsidRDefault="00CB64D0" w:rsidP="00CB64D0">
      <w:pPr>
        <w:spacing w:line="240" w:lineRule="auto"/>
        <w:ind w:left="284"/>
        <w:rPr>
          <w:rFonts w:eastAsia="Times New Roman" w:cs="Times New Roman"/>
          <w:szCs w:val="24"/>
          <w:lang w:eastAsia="es-ES"/>
        </w:rPr>
      </w:pPr>
      <w:r w:rsidRPr="00CB64D0">
        <w:rPr>
          <w:rFonts w:eastAsia="Times New Roman" w:cs="Times New Roman"/>
          <w:i/>
          <w:iCs/>
          <w:szCs w:val="24"/>
          <w:lang w:val="es-CO" w:eastAsia="es-ES"/>
        </w:rPr>
        <w:t>“</w:t>
      </w:r>
      <w:hyperlink r:id="rId14" w:tooltip="Estatuto Tributario CETA" w:history="1">
        <w:r w:rsidRPr="00CB64D0">
          <w:rPr>
            <w:rFonts w:eastAsia="Times New Roman" w:cs="Times New Roman"/>
            <w:b/>
            <w:bCs/>
            <w:i/>
            <w:iCs/>
            <w:szCs w:val="24"/>
            <w:lang w:val="es-CO" w:eastAsia="es-ES"/>
          </w:rPr>
          <w:t>Artículo 30</w:t>
        </w:r>
      </w:hyperlink>
      <w:r w:rsidRPr="00CB64D0">
        <w:rPr>
          <w:rFonts w:eastAsia="Times New Roman" w:cs="Times New Roman"/>
          <w:b/>
          <w:bCs/>
          <w:i/>
          <w:iCs/>
          <w:szCs w:val="24"/>
          <w:lang w:val="es-CO" w:eastAsia="es-ES"/>
        </w:rPr>
        <w:t>.</w:t>
      </w:r>
      <w:r w:rsidRPr="00CB64D0">
        <w:rPr>
          <w:rFonts w:eastAsia="Times New Roman" w:cs="Times New Roman"/>
          <w:i/>
          <w:iCs/>
          <w:szCs w:val="24"/>
          <w:lang w:val="es-CO" w:eastAsia="es-ES"/>
        </w:rPr>
        <w:t> Definición de dividendos o participaciones en utilidades. Se entiende por dividendos o participaciones en utilidades:</w:t>
      </w:r>
    </w:p>
    <w:p w14:paraId="3A6F0361" w14:textId="77777777" w:rsidR="00CB64D0" w:rsidRPr="00CB64D0" w:rsidRDefault="00CB64D0" w:rsidP="00CB64D0">
      <w:pPr>
        <w:spacing w:line="240" w:lineRule="auto"/>
        <w:ind w:left="284"/>
        <w:rPr>
          <w:rFonts w:eastAsia="Times New Roman" w:cs="Times New Roman"/>
          <w:szCs w:val="24"/>
          <w:lang w:eastAsia="es-ES"/>
        </w:rPr>
      </w:pPr>
      <w:r w:rsidRPr="00CB64D0">
        <w:rPr>
          <w:rFonts w:eastAsia="Times New Roman" w:cs="Times New Roman"/>
          <w:szCs w:val="24"/>
          <w:lang w:eastAsia="es-ES"/>
        </w:rPr>
        <w:t> </w:t>
      </w:r>
    </w:p>
    <w:p w14:paraId="4FE175CE" w14:textId="77777777" w:rsidR="00CB64D0" w:rsidRPr="00CB64D0" w:rsidRDefault="00CB64D0" w:rsidP="00CB64D0">
      <w:pPr>
        <w:spacing w:line="240" w:lineRule="auto"/>
        <w:ind w:left="284"/>
        <w:rPr>
          <w:rFonts w:eastAsia="Times New Roman" w:cs="Times New Roman"/>
          <w:szCs w:val="24"/>
          <w:lang w:eastAsia="es-ES"/>
        </w:rPr>
      </w:pPr>
      <w:r w:rsidRPr="00CB64D0">
        <w:rPr>
          <w:rFonts w:eastAsia="Times New Roman" w:cs="Times New Roman"/>
          <w:i/>
          <w:iCs/>
          <w:szCs w:val="24"/>
          <w:lang w:val="es-CO" w:eastAsia="es-ES"/>
        </w:rPr>
        <w:t>1. Toda distribución de beneficios, </w:t>
      </w:r>
      <w:r w:rsidRPr="00CB64D0">
        <w:rPr>
          <w:rFonts w:eastAsia="Times New Roman" w:cs="Times New Roman"/>
          <w:i/>
          <w:iCs/>
          <w:szCs w:val="24"/>
          <w:u w:val="single"/>
          <w:lang w:val="es-CO" w:eastAsia="es-ES"/>
        </w:rPr>
        <w:t>en dinero o en especie</w:t>
      </w:r>
      <w:r w:rsidRPr="00CB64D0">
        <w:rPr>
          <w:rFonts w:eastAsia="Times New Roman" w:cs="Times New Roman"/>
          <w:i/>
          <w:iCs/>
          <w:szCs w:val="24"/>
          <w:lang w:val="es-CO" w:eastAsia="es-ES"/>
        </w:rPr>
        <w:t>, con cargo a patrimonio que se realice a los socios, accionistas, comuneros, asociados, suscriptores o similares, excepto la disminución de capital y la prima en colocación de acciones.</w:t>
      </w:r>
    </w:p>
    <w:p w14:paraId="17714A50" w14:textId="77777777" w:rsidR="00CB64D0" w:rsidRPr="00CB64D0" w:rsidRDefault="00CB64D0" w:rsidP="00CB64D0">
      <w:pPr>
        <w:spacing w:line="240" w:lineRule="auto"/>
        <w:ind w:left="284"/>
        <w:rPr>
          <w:rFonts w:eastAsia="Times New Roman" w:cs="Times New Roman"/>
          <w:szCs w:val="24"/>
          <w:lang w:eastAsia="es-ES"/>
        </w:rPr>
      </w:pPr>
      <w:r w:rsidRPr="00CB64D0">
        <w:rPr>
          <w:rFonts w:eastAsia="Times New Roman" w:cs="Times New Roman"/>
          <w:szCs w:val="24"/>
          <w:lang w:eastAsia="es-ES"/>
        </w:rPr>
        <w:t> </w:t>
      </w:r>
    </w:p>
    <w:p w14:paraId="703C96CE" w14:textId="77777777" w:rsidR="00CB64D0" w:rsidRPr="00CB64D0" w:rsidRDefault="00CB64D0" w:rsidP="00CB64D0">
      <w:pPr>
        <w:spacing w:line="240" w:lineRule="auto"/>
        <w:ind w:left="284"/>
        <w:rPr>
          <w:rFonts w:eastAsia="Times New Roman" w:cs="Times New Roman"/>
          <w:szCs w:val="24"/>
          <w:lang w:eastAsia="es-ES"/>
        </w:rPr>
      </w:pPr>
      <w:r w:rsidRPr="00CB64D0">
        <w:rPr>
          <w:rFonts w:eastAsia="Times New Roman" w:cs="Times New Roman"/>
          <w:i/>
          <w:iCs/>
          <w:szCs w:val="24"/>
          <w:lang w:val="es-CO" w:eastAsia="es-ES"/>
        </w:rPr>
        <w:t>(...)”</w:t>
      </w:r>
    </w:p>
    <w:p w14:paraId="5F72626E" w14:textId="77777777" w:rsidR="00CB64D0" w:rsidRPr="00CB64D0" w:rsidRDefault="00CB64D0" w:rsidP="00CB64D0">
      <w:pPr>
        <w:spacing w:line="240" w:lineRule="auto"/>
        <w:rPr>
          <w:rFonts w:eastAsia="Times New Roman" w:cs="Times New Roman"/>
          <w:szCs w:val="24"/>
          <w:lang w:eastAsia="es-ES"/>
        </w:rPr>
      </w:pPr>
      <w:r w:rsidRPr="00CB64D0">
        <w:rPr>
          <w:rFonts w:eastAsia="Times New Roman" w:cs="Times New Roman"/>
          <w:szCs w:val="24"/>
          <w:lang w:eastAsia="es-ES"/>
        </w:rPr>
        <w:t> </w:t>
      </w:r>
    </w:p>
    <w:p w14:paraId="42371111" w14:textId="77777777" w:rsidR="00CB64D0" w:rsidRPr="00CB64D0" w:rsidRDefault="00CB64D0" w:rsidP="00CB64D0">
      <w:pPr>
        <w:spacing w:line="240" w:lineRule="auto"/>
        <w:rPr>
          <w:rFonts w:eastAsia="Times New Roman" w:cs="Times New Roman"/>
          <w:szCs w:val="24"/>
          <w:lang w:eastAsia="es-ES"/>
        </w:rPr>
      </w:pPr>
      <w:r w:rsidRPr="00CB64D0">
        <w:rPr>
          <w:rFonts w:eastAsia="Times New Roman" w:cs="Times New Roman"/>
          <w:szCs w:val="24"/>
          <w:lang w:val="es-CO" w:eastAsia="es-ES"/>
        </w:rPr>
        <w:t xml:space="preserve">Así las cosas, cuando se realice cualquier distribución de beneficios con cargo a patrimonio y a favor de los accionistas, bien sea en dinero o en especie, dicha distribución calificará dentro de la </w:t>
      </w:r>
      <w:r w:rsidRPr="00CB64D0">
        <w:rPr>
          <w:rFonts w:eastAsia="Times New Roman" w:cs="Times New Roman"/>
          <w:szCs w:val="24"/>
          <w:lang w:val="es-CO" w:eastAsia="es-ES"/>
        </w:rPr>
        <w:lastRenderedPageBreak/>
        <w:t>categoría de dividendo. Respecto a la distribución de dividendos en especie, este Despacho ha indicado que:</w:t>
      </w:r>
    </w:p>
    <w:p w14:paraId="5596A3B9" w14:textId="77777777" w:rsidR="00CB64D0" w:rsidRPr="00CB64D0" w:rsidRDefault="00CB64D0" w:rsidP="00CB64D0">
      <w:pPr>
        <w:spacing w:line="240" w:lineRule="auto"/>
        <w:ind w:left="284"/>
        <w:rPr>
          <w:rFonts w:eastAsia="Times New Roman" w:cs="Times New Roman"/>
          <w:szCs w:val="24"/>
          <w:lang w:eastAsia="es-ES"/>
        </w:rPr>
      </w:pPr>
      <w:r w:rsidRPr="00CB64D0">
        <w:rPr>
          <w:rFonts w:eastAsia="Times New Roman" w:cs="Times New Roman"/>
          <w:szCs w:val="24"/>
          <w:lang w:eastAsia="es-ES"/>
        </w:rPr>
        <w:t> </w:t>
      </w:r>
    </w:p>
    <w:p w14:paraId="0F13D54A" w14:textId="77777777" w:rsidR="00CB64D0" w:rsidRPr="00CB64D0" w:rsidRDefault="00CB64D0" w:rsidP="00CB64D0">
      <w:pPr>
        <w:spacing w:line="240" w:lineRule="auto"/>
        <w:ind w:left="284"/>
        <w:rPr>
          <w:rFonts w:eastAsia="Times New Roman" w:cs="Times New Roman"/>
          <w:szCs w:val="24"/>
          <w:lang w:eastAsia="es-ES"/>
        </w:rPr>
      </w:pPr>
      <w:r w:rsidRPr="00CB64D0">
        <w:rPr>
          <w:rFonts w:eastAsia="Times New Roman" w:cs="Times New Roman"/>
          <w:i/>
          <w:iCs/>
          <w:szCs w:val="24"/>
          <w:lang w:val="es-CO" w:eastAsia="es-ES"/>
        </w:rPr>
        <w:t>“2. De lo anterior, es posible considerar que el concepto de dividendos incluye toda distribución de beneficios, en dinero o en especie, con cargo a patrimonio que se realice a los accionistas. </w:t>
      </w:r>
      <w:r w:rsidRPr="00CB64D0">
        <w:rPr>
          <w:rFonts w:eastAsia="Times New Roman" w:cs="Times New Roman"/>
          <w:i/>
          <w:iCs/>
          <w:szCs w:val="24"/>
          <w:u w:val="single"/>
          <w:lang w:val="es-CO" w:eastAsia="es-ES"/>
        </w:rPr>
        <w:t>En esta medida, la distribución de acciones, es decir un bien en especie, debe ser entendida como un dividendo para efectos fiscales.</w:t>
      </w:r>
    </w:p>
    <w:p w14:paraId="06EA2CA3" w14:textId="77777777" w:rsidR="00CB64D0" w:rsidRPr="00CB64D0" w:rsidRDefault="00CB64D0" w:rsidP="00CB64D0">
      <w:pPr>
        <w:spacing w:line="240" w:lineRule="auto"/>
        <w:ind w:left="284"/>
        <w:rPr>
          <w:rFonts w:eastAsia="Times New Roman" w:cs="Times New Roman"/>
          <w:szCs w:val="24"/>
          <w:lang w:eastAsia="es-ES"/>
        </w:rPr>
      </w:pPr>
      <w:r w:rsidRPr="00CB64D0">
        <w:rPr>
          <w:rFonts w:eastAsia="Times New Roman" w:cs="Times New Roman"/>
          <w:szCs w:val="24"/>
          <w:lang w:eastAsia="es-ES"/>
        </w:rPr>
        <w:t> </w:t>
      </w:r>
    </w:p>
    <w:p w14:paraId="60BF17E5" w14:textId="77777777" w:rsidR="00CB64D0" w:rsidRPr="00CB64D0" w:rsidRDefault="00CB64D0" w:rsidP="00CB64D0">
      <w:pPr>
        <w:spacing w:line="240" w:lineRule="auto"/>
        <w:ind w:left="284"/>
        <w:rPr>
          <w:rFonts w:eastAsia="Times New Roman" w:cs="Times New Roman"/>
          <w:szCs w:val="24"/>
          <w:lang w:eastAsia="es-ES"/>
        </w:rPr>
      </w:pPr>
      <w:r w:rsidRPr="00CB64D0">
        <w:rPr>
          <w:rFonts w:eastAsia="Times New Roman" w:cs="Times New Roman"/>
          <w:i/>
          <w:iCs/>
          <w:szCs w:val="24"/>
          <w:u w:val="single"/>
          <w:lang w:val="es-CO" w:eastAsia="es-ES"/>
        </w:rPr>
        <w:t>3. Partiendo de lo anterior, es posible reconocer que la retención en la fuente establecida en los artículos </w:t>
      </w:r>
      <w:hyperlink r:id="rId15" w:tooltip="Estatuto Tributario CETA" w:history="1">
        <w:r w:rsidRPr="00CB64D0">
          <w:rPr>
            <w:rFonts w:eastAsia="Times New Roman" w:cs="Times New Roman"/>
            <w:i/>
            <w:iCs/>
            <w:szCs w:val="24"/>
            <w:lang w:val="es-CO" w:eastAsia="es-ES"/>
          </w:rPr>
          <w:t>242</w:t>
        </w:r>
      </w:hyperlink>
      <w:r w:rsidRPr="00CB64D0">
        <w:rPr>
          <w:rFonts w:eastAsia="Times New Roman" w:cs="Times New Roman"/>
          <w:i/>
          <w:iCs/>
          <w:szCs w:val="24"/>
          <w:u w:val="single"/>
          <w:lang w:val="es-CO" w:eastAsia="es-ES"/>
        </w:rPr>
        <w:t> y </w:t>
      </w:r>
      <w:hyperlink r:id="rId16" w:tooltip="Estatuto Tributario CETA" w:history="1">
        <w:r w:rsidRPr="00CB64D0">
          <w:rPr>
            <w:rFonts w:eastAsia="Times New Roman" w:cs="Times New Roman"/>
            <w:i/>
            <w:iCs/>
            <w:szCs w:val="24"/>
            <w:lang w:val="es-CO" w:eastAsia="es-ES"/>
          </w:rPr>
          <w:t>242-1</w:t>
        </w:r>
      </w:hyperlink>
      <w:r w:rsidRPr="00CB64D0">
        <w:rPr>
          <w:rFonts w:eastAsia="Times New Roman" w:cs="Times New Roman"/>
          <w:i/>
          <w:iCs/>
          <w:szCs w:val="24"/>
          <w:u w:val="single"/>
          <w:lang w:val="es-CO" w:eastAsia="es-ES"/>
        </w:rPr>
        <w:t> del E.T. es aplicable a las acciones que sean repartidas en calidad de dividendos como consecuencia de una capitalización de las utilidades en una sociedad.</w:t>
      </w:r>
    </w:p>
    <w:p w14:paraId="1E048C40" w14:textId="77777777" w:rsidR="00CB64D0" w:rsidRPr="00CB64D0" w:rsidRDefault="00CB64D0" w:rsidP="00CB64D0">
      <w:pPr>
        <w:spacing w:line="240" w:lineRule="auto"/>
        <w:ind w:left="284"/>
        <w:rPr>
          <w:rFonts w:eastAsia="Times New Roman" w:cs="Times New Roman"/>
          <w:szCs w:val="24"/>
          <w:lang w:eastAsia="es-ES"/>
        </w:rPr>
      </w:pPr>
      <w:r w:rsidRPr="00CB64D0">
        <w:rPr>
          <w:rFonts w:eastAsia="Times New Roman" w:cs="Times New Roman"/>
          <w:szCs w:val="24"/>
          <w:lang w:eastAsia="es-ES"/>
        </w:rPr>
        <w:t> </w:t>
      </w:r>
    </w:p>
    <w:p w14:paraId="2F8547D8" w14:textId="77777777" w:rsidR="00CB64D0" w:rsidRPr="00CB64D0" w:rsidRDefault="00CB64D0" w:rsidP="00CB64D0">
      <w:pPr>
        <w:spacing w:line="240" w:lineRule="auto"/>
        <w:ind w:left="284"/>
        <w:rPr>
          <w:rFonts w:eastAsia="Times New Roman" w:cs="Times New Roman"/>
          <w:szCs w:val="24"/>
          <w:lang w:eastAsia="es-ES"/>
        </w:rPr>
      </w:pPr>
      <w:r w:rsidRPr="00CB64D0">
        <w:rPr>
          <w:rFonts w:eastAsia="Times New Roman" w:cs="Times New Roman"/>
          <w:i/>
          <w:iCs/>
          <w:szCs w:val="24"/>
          <w:lang w:val="es-CO" w:eastAsia="es-ES"/>
        </w:rPr>
        <w:t>4. La retención respectiva deberá determinarse sobre el valor bruto de las acciones que sean repartidas como consecuencia de la capitalización, tal y como se menciona en parágrafo del </w:t>
      </w:r>
      <w:hyperlink r:id="rId17" w:tooltip="Estatuto Tributario CETA" w:history="1">
        <w:r w:rsidRPr="00CB64D0">
          <w:rPr>
            <w:rFonts w:eastAsia="Times New Roman" w:cs="Times New Roman"/>
            <w:i/>
            <w:iCs/>
            <w:szCs w:val="24"/>
            <w:lang w:val="es-CO" w:eastAsia="es-ES"/>
          </w:rPr>
          <w:t>artículo 242</w:t>
        </w:r>
      </w:hyperlink>
      <w:r w:rsidRPr="00CB64D0">
        <w:rPr>
          <w:rFonts w:eastAsia="Times New Roman" w:cs="Times New Roman"/>
          <w:i/>
          <w:iCs/>
          <w:szCs w:val="24"/>
          <w:lang w:val="es-CO" w:eastAsia="es-ES"/>
        </w:rPr>
        <w:t> del E.T.” (Concepto 100208221-000449 de radicado 2019004852 de 26 de febrero de 2019).</w:t>
      </w:r>
    </w:p>
    <w:p w14:paraId="27220615" w14:textId="77777777" w:rsidR="00CB64D0" w:rsidRPr="00CB64D0" w:rsidRDefault="00CB64D0" w:rsidP="00CB64D0">
      <w:pPr>
        <w:spacing w:line="240" w:lineRule="auto"/>
        <w:rPr>
          <w:rFonts w:eastAsia="Times New Roman" w:cs="Times New Roman"/>
          <w:szCs w:val="24"/>
          <w:lang w:eastAsia="es-ES"/>
        </w:rPr>
      </w:pPr>
      <w:r w:rsidRPr="00CB64D0">
        <w:rPr>
          <w:rFonts w:eastAsia="Times New Roman" w:cs="Times New Roman"/>
          <w:szCs w:val="24"/>
          <w:lang w:eastAsia="es-ES"/>
        </w:rPr>
        <w:t> </w:t>
      </w:r>
    </w:p>
    <w:p w14:paraId="5F501A96" w14:textId="77777777" w:rsidR="00CB64D0" w:rsidRPr="00CB64D0" w:rsidRDefault="00CB64D0" w:rsidP="00CB64D0">
      <w:pPr>
        <w:spacing w:line="240" w:lineRule="auto"/>
        <w:rPr>
          <w:rFonts w:eastAsia="Times New Roman" w:cs="Times New Roman"/>
          <w:szCs w:val="24"/>
          <w:lang w:eastAsia="es-ES"/>
        </w:rPr>
      </w:pPr>
      <w:r w:rsidRPr="00CB64D0">
        <w:rPr>
          <w:rFonts w:eastAsia="Times New Roman" w:cs="Times New Roman"/>
          <w:szCs w:val="24"/>
          <w:lang w:val="es-CO" w:eastAsia="es-ES"/>
        </w:rPr>
        <w:t>B. </w:t>
      </w:r>
      <w:hyperlink r:id="rId18" w:tooltip="Estatuto Tributario CETA" w:history="1">
        <w:r w:rsidRPr="00CB64D0">
          <w:rPr>
            <w:rFonts w:eastAsia="Times New Roman" w:cs="Times New Roman"/>
            <w:szCs w:val="24"/>
            <w:lang w:val="es-CO" w:eastAsia="es-ES"/>
          </w:rPr>
          <w:t>Artículo 36-3</w:t>
        </w:r>
      </w:hyperlink>
      <w:r w:rsidRPr="00CB64D0">
        <w:rPr>
          <w:rFonts w:eastAsia="Times New Roman" w:cs="Times New Roman"/>
          <w:szCs w:val="24"/>
          <w:u w:val="single"/>
          <w:lang w:val="es-CO" w:eastAsia="es-ES"/>
        </w:rPr>
        <w:t> del Estatuto Tributario</w:t>
      </w:r>
    </w:p>
    <w:p w14:paraId="1F18C6DC" w14:textId="77777777" w:rsidR="00CB64D0" w:rsidRPr="00CB64D0" w:rsidRDefault="00CB64D0" w:rsidP="00CB64D0">
      <w:pPr>
        <w:spacing w:line="240" w:lineRule="auto"/>
        <w:rPr>
          <w:rFonts w:eastAsia="Times New Roman" w:cs="Times New Roman"/>
          <w:szCs w:val="24"/>
          <w:lang w:eastAsia="es-ES"/>
        </w:rPr>
      </w:pPr>
      <w:r w:rsidRPr="00CB64D0">
        <w:rPr>
          <w:rFonts w:eastAsia="Times New Roman" w:cs="Times New Roman"/>
          <w:szCs w:val="24"/>
          <w:lang w:eastAsia="es-ES"/>
        </w:rPr>
        <w:t> </w:t>
      </w:r>
    </w:p>
    <w:p w14:paraId="14919BA6" w14:textId="77777777" w:rsidR="00CB64D0" w:rsidRPr="00CB64D0" w:rsidRDefault="00CB64D0" w:rsidP="00CB64D0">
      <w:pPr>
        <w:spacing w:line="240" w:lineRule="auto"/>
        <w:rPr>
          <w:rFonts w:eastAsia="Times New Roman" w:cs="Times New Roman"/>
          <w:szCs w:val="24"/>
          <w:lang w:eastAsia="es-ES"/>
        </w:rPr>
      </w:pPr>
      <w:r w:rsidRPr="00CB64D0">
        <w:rPr>
          <w:rFonts w:eastAsia="Times New Roman" w:cs="Times New Roman"/>
          <w:szCs w:val="24"/>
          <w:lang w:val="es-CO" w:eastAsia="es-ES"/>
        </w:rPr>
        <w:t>El artículos (sic) </w:t>
      </w:r>
      <w:hyperlink r:id="rId19" w:tooltip="Estatuto Tributario CETA" w:history="1">
        <w:r w:rsidRPr="00CB64D0">
          <w:rPr>
            <w:rFonts w:eastAsia="Times New Roman" w:cs="Times New Roman"/>
            <w:szCs w:val="24"/>
            <w:lang w:val="es-CO" w:eastAsia="es-ES"/>
          </w:rPr>
          <w:t>36-3</w:t>
        </w:r>
      </w:hyperlink>
      <w:r w:rsidRPr="00CB64D0">
        <w:rPr>
          <w:rFonts w:eastAsia="Times New Roman" w:cs="Times New Roman"/>
          <w:szCs w:val="24"/>
          <w:lang w:val="es-CO" w:eastAsia="es-ES"/>
        </w:rPr>
        <w:t> del Estatuto Tributario establece de la siguiente forma las capitalizaciones no gravadas para los socios o accionistas:</w:t>
      </w:r>
    </w:p>
    <w:p w14:paraId="310CEBD9" w14:textId="77777777" w:rsidR="00CB64D0" w:rsidRPr="00CB64D0" w:rsidRDefault="00CB64D0" w:rsidP="00CB64D0">
      <w:pPr>
        <w:spacing w:line="240" w:lineRule="auto"/>
        <w:ind w:left="284"/>
        <w:rPr>
          <w:rFonts w:eastAsia="Times New Roman" w:cs="Times New Roman"/>
          <w:szCs w:val="24"/>
          <w:lang w:eastAsia="es-ES"/>
        </w:rPr>
      </w:pPr>
      <w:r w:rsidRPr="00CB64D0">
        <w:rPr>
          <w:rFonts w:eastAsia="Times New Roman" w:cs="Times New Roman"/>
          <w:szCs w:val="24"/>
          <w:lang w:eastAsia="es-ES"/>
        </w:rPr>
        <w:t> </w:t>
      </w:r>
    </w:p>
    <w:p w14:paraId="57C0B4AE" w14:textId="77777777" w:rsidR="00CB64D0" w:rsidRPr="00CB64D0" w:rsidRDefault="00CB64D0" w:rsidP="00CB64D0">
      <w:pPr>
        <w:spacing w:line="240" w:lineRule="auto"/>
        <w:ind w:left="284"/>
        <w:rPr>
          <w:rFonts w:eastAsia="Times New Roman" w:cs="Times New Roman"/>
          <w:szCs w:val="24"/>
          <w:lang w:eastAsia="es-ES"/>
        </w:rPr>
      </w:pPr>
      <w:r w:rsidRPr="00CB64D0">
        <w:rPr>
          <w:rFonts w:eastAsia="Times New Roman" w:cs="Times New Roman"/>
          <w:i/>
          <w:iCs/>
          <w:szCs w:val="24"/>
          <w:lang w:val="es-CO" w:eastAsia="es-ES"/>
        </w:rPr>
        <w:t>“</w:t>
      </w:r>
      <w:hyperlink r:id="rId20" w:tooltip="Estatuto Tributario CETA" w:history="1">
        <w:r w:rsidRPr="00CB64D0">
          <w:rPr>
            <w:rFonts w:eastAsia="Times New Roman" w:cs="Times New Roman"/>
            <w:b/>
            <w:bCs/>
            <w:i/>
            <w:iCs/>
            <w:szCs w:val="24"/>
            <w:lang w:val="es-CO" w:eastAsia="es-ES"/>
          </w:rPr>
          <w:t>Artículo 36-3</w:t>
        </w:r>
      </w:hyperlink>
      <w:r w:rsidRPr="00CB64D0">
        <w:rPr>
          <w:rFonts w:eastAsia="Times New Roman" w:cs="Times New Roman"/>
          <w:b/>
          <w:bCs/>
          <w:i/>
          <w:iCs/>
          <w:szCs w:val="24"/>
          <w:lang w:val="es-CO" w:eastAsia="es-ES"/>
        </w:rPr>
        <w:t>.</w:t>
      </w:r>
      <w:r w:rsidRPr="00CB64D0">
        <w:rPr>
          <w:rFonts w:eastAsia="Times New Roman" w:cs="Times New Roman"/>
          <w:i/>
          <w:iCs/>
          <w:szCs w:val="24"/>
          <w:lang w:val="es-CO" w:eastAsia="es-ES"/>
        </w:rPr>
        <w:t xml:space="preserve"> Capitalizaciones no gravadas para los socios o </w:t>
      </w:r>
      <w:proofErr w:type="spellStart"/>
      <w:proofErr w:type="gramStart"/>
      <w:r w:rsidRPr="00CB64D0">
        <w:rPr>
          <w:rFonts w:eastAsia="Times New Roman" w:cs="Times New Roman"/>
          <w:i/>
          <w:iCs/>
          <w:szCs w:val="24"/>
          <w:lang w:val="es-CO" w:eastAsia="es-ES"/>
        </w:rPr>
        <w:t>accionistas.La</w:t>
      </w:r>
      <w:proofErr w:type="spellEnd"/>
      <w:proofErr w:type="gramEnd"/>
      <w:r w:rsidRPr="00CB64D0">
        <w:rPr>
          <w:rFonts w:eastAsia="Times New Roman" w:cs="Times New Roman"/>
          <w:i/>
          <w:iCs/>
          <w:szCs w:val="24"/>
          <w:lang w:val="es-CO" w:eastAsia="es-ES"/>
        </w:rPr>
        <w:t xml:space="preserve"> distribución de utilidades en acciones o cuotas de interés social, o su traslado a la cuenta de capital, </w:t>
      </w:r>
      <w:r w:rsidRPr="00CB64D0">
        <w:rPr>
          <w:rFonts w:eastAsia="Times New Roman" w:cs="Times New Roman"/>
          <w:i/>
          <w:iCs/>
          <w:szCs w:val="24"/>
          <w:u w:val="single"/>
          <w:lang w:val="es-CO" w:eastAsia="es-ES"/>
        </w:rPr>
        <w:t>producto de la capitalización de la cuenta de Revalorización del Patrimonio</w:t>
      </w:r>
      <w:r w:rsidRPr="00CB64D0">
        <w:rPr>
          <w:rFonts w:eastAsia="Times New Roman" w:cs="Times New Roman"/>
          <w:i/>
          <w:iCs/>
          <w:szCs w:val="24"/>
          <w:lang w:val="es-CO" w:eastAsia="es-ES"/>
        </w:rPr>
        <w:t>, es un ingreso no constitutivo de renta ni de ganancia ocasional. </w:t>
      </w:r>
      <w:r w:rsidRPr="00CB64D0">
        <w:rPr>
          <w:rFonts w:eastAsia="Times New Roman" w:cs="Times New Roman"/>
          <w:i/>
          <w:iCs/>
          <w:szCs w:val="24"/>
          <w:u w:val="single"/>
          <w:lang w:val="es-CO" w:eastAsia="es-ES"/>
        </w:rPr>
        <w:t>En el caso de las sociedades cuyas acciones se cotizan en bolsa, tampoco constituye renta ni ganancia ocasional, la distribución en acciones o la capitalización, de las utilidades que excedan de la parte que no constituye renta ni ganancia ocasional de conformidad con los artículos </w:t>
      </w:r>
      <w:hyperlink r:id="rId21" w:tooltip="Estatuto Tributario CETA" w:history="1">
        <w:r w:rsidRPr="00CB64D0">
          <w:rPr>
            <w:rFonts w:eastAsia="Times New Roman" w:cs="Times New Roman"/>
            <w:i/>
            <w:iCs/>
            <w:szCs w:val="24"/>
            <w:lang w:val="es-CO" w:eastAsia="es-ES"/>
          </w:rPr>
          <w:t>48</w:t>
        </w:r>
      </w:hyperlink>
      <w:r w:rsidRPr="00CB64D0">
        <w:rPr>
          <w:rFonts w:eastAsia="Times New Roman" w:cs="Times New Roman"/>
          <w:i/>
          <w:iCs/>
          <w:szCs w:val="24"/>
          <w:u w:val="single"/>
          <w:lang w:val="es-CO" w:eastAsia="es-ES"/>
        </w:rPr>
        <w:t> y </w:t>
      </w:r>
      <w:hyperlink r:id="rId22" w:tooltip="Estatuto Tributario CETA" w:history="1">
        <w:r w:rsidRPr="00CB64D0">
          <w:rPr>
            <w:rFonts w:eastAsia="Times New Roman" w:cs="Times New Roman"/>
            <w:i/>
            <w:iCs/>
            <w:szCs w:val="24"/>
            <w:lang w:val="es-CO" w:eastAsia="es-ES"/>
          </w:rPr>
          <w:t>49</w:t>
        </w:r>
      </w:hyperlink>
      <w:r w:rsidRPr="00CB64D0">
        <w:rPr>
          <w:rFonts w:eastAsia="Times New Roman" w:cs="Times New Roman"/>
          <w:i/>
          <w:iCs/>
          <w:szCs w:val="24"/>
          <w:u w:val="single"/>
          <w:lang w:val="es-CO" w:eastAsia="es-ES"/>
        </w:rPr>
        <w:t>.”</w:t>
      </w:r>
    </w:p>
    <w:p w14:paraId="16E050AE" w14:textId="77777777" w:rsidR="00CB64D0" w:rsidRPr="00CB64D0" w:rsidRDefault="00CB64D0" w:rsidP="00CB64D0">
      <w:pPr>
        <w:spacing w:line="240" w:lineRule="auto"/>
        <w:rPr>
          <w:rFonts w:eastAsia="Times New Roman" w:cs="Times New Roman"/>
          <w:szCs w:val="24"/>
          <w:lang w:eastAsia="es-ES"/>
        </w:rPr>
      </w:pPr>
      <w:r w:rsidRPr="00CB64D0">
        <w:rPr>
          <w:rFonts w:eastAsia="Times New Roman" w:cs="Times New Roman"/>
          <w:szCs w:val="24"/>
          <w:lang w:eastAsia="es-ES"/>
        </w:rPr>
        <w:t> </w:t>
      </w:r>
    </w:p>
    <w:p w14:paraId="3683D20B" w14:textId="77777777" w:rsidR="00CB64D0" w:rsidRPr="00CB64D0" w:rsidRDefault="00CB64D0" w:rsidP="00CB64D0">
      <w:pPr>
        <w:spacing w:line="240" w:lineRule="auto"/>
        <w:rPr>
          <w:rFonts w:eastAsia="Times New Roman" w:cs="Times New Roman"/>
          <w:szCs w:val="24"/>
          <w:lang w:eastAsia="es-ES"/>
        </w:rPr>
      </w:pPr>
      <w:r w:rsidRPr="00CB64D0">
        <w:rPr>
          <w:rFonts w:eastAsia="Times New Roman" w:cs="Times New Roman"/>
          <w:szCs w:val="24"/>
          <w:lang w:val="es-CO" w:eastAsia="es-ES"/>
        </w:rPr>
        <w:t>Respecto al anterior artículo, el artículo 1.2.1.12.1 del Decreto 1625 de 2016 establece que:</w:t>
      </w:r>
    </w:p>
    <w:p w14:paraId="7A1DB7A0" w14:textId="77777777" w:rsidR="00CB64D0" w:rsidRPr="00CB64D0" w:rsidRDefault="00CB64D0" w:rsidP="00CB64D0">
      <w:pPr>
        <w:spacing w:line="240" w:lineRule="auto"/>
        <w:ind w:left="284"/>
        <w:rPr>
          <w:rFonts w:eastAsia="Times New Roman" w:cs="Times New Roman"/>
          <w:szCs w:val="24"/>
          <w:lang w:eastAsia="es-ES"/>
        </w:rPr>
      </w:pPr>
      <w:r w:rsidRPr="00CB64D0">
        <w:rPr>
          <w:rFonts w:eastAsia="Times New Roman" w:cs="Times New Roman"/>
          <w:szCs w:val="24"/>
          <w:lang w:eastAsia="es-ES"/>
        </w:rPr>
        <w:t> </w:t>
      </w:r>
    </w:p>
    <w:p w14:paraId="611A67D7" w14:textId="77777777" w:rsidR="00CB64D0" w:rsidRPr="00CB64D0" w:rsidRDefault="00CB64D0" w:rsidP="00CB64D0">
      <w:pPr>
        <w:spacing w:line="240" w:lineRule="auto"/>
        <w:ind w:left="284"/>
        <w:rPr>
          <w:rFonts w:eastAsia="Times New Roman" w:cs="Times New Roman"/>
          <w:szCs w:val="24"/>
          <w:lang w:eastAsia="es-ES"/>
        </w:rPr>
      </w:pPr>
      <w:r w:rsidRPr="00CB64D0">
        <w:rPr>
          <w:rFonts w:eastAsia="Times New Roman" w:cs="Times New Roman"/>
          <w:i/>
          <w:iCs/>
          <w:szCs w:val="24"/>
          <w:lang w:val="es-CO" w:eastAsia="es-ES"/>
        </w:rPr>
        <w:t>“</w:t>
      </w:r>
      <w:r w:rsidRPr="00CB64D0">
        <w:rPr>
          <w:rFonts w:eastAsia="Times New Roman" w:cs="Times New Roman"/>
          <w:b/>
          <w:bCs/>
          <w:i/>
          <w:iCs/>
          <w:szCs w:val="24"/>
          <w:lang w:val="es-CO" w:eastAsia="es-ES"/>
        </w:rPr>
        <w:t>Artículo 1.2.1.12.1. Capitalizaciones.</w:t>
      </w:r>
      <w:r w:rsidRPr="00CB64D0">
        <w:rPr>
          <w:rFonts w:eastAsia="Times New Roman" w:cs="Times New Roman"/>
          <w:i/>
          <w:iCs/>
          <w:szCs w:val="24"/>
          <w:lang w:val="es-CO" w:eastAsia="es-ES"/>
        </w:rPr>
        <w:t> De conformidad con el artículo 6º de la Ley 49 de 1990, que modificó el </w:t>
      </w:r>
      <w:hyperlink r:id="rId23" w:tooltip="Estatuto Tributario CETA" w:history="1">
        <w:r w:rsidRPr="00CB64D0">
          <w:rPr>
            <w:rFonts w:eastAsia="Times New Roman" w:cs="Times New Roman"/>
            <w:i/>
            <w:iCs/>
            <w:szCs w:val="24"/>
            <w:lang w:val="es-CO" w:eastAsia="es-ES"/>
          </w:rPr>
          <w:t>artículo 36-3</w:t>
        </w:r>
      </w:hyperlink>
      <w:r w:rsidRPr="00CB64D0">
        <w:rPr>
          <w:rFonts w:eastAsia="Times New Roman" w:cs="Times New Roman"/>
          <w:i/>
          <w:iCs/>
          <w:szCs w:val="24"/>
          <w:lang w:val="es-CO" w:eastAsia="es-ES"/>
        </w:rPr>
        <w:t> del Estatuto Tributario, para todos los efectos legales, las sociedades pueden capitalizar, </w:t>
      </w:r>
      <w:r w:rsidRPr="00CB64D0">
        <w:rPr>
          <w:rFonts w:eastAsia="Times New Roman" w:cs="Times New Roman"/>
          <w:i/>
          <w:iCs/>
          <w:szCs w:val="24"/>
          <w:u w:val="single"/>
          <w:lang w:val="es-CO" w:eastAsia="es-ES"/>
        </w:rPr>
        <w:t>la totalidad de la cuenta de revalorización del patrimonio,</w:t>
      </w:r>
      <w:r w:rsidRPr="00CB64D0">
        <w:rPr>
          <w:rFonts w:eastAsia="Times New Roman" w:cs="Times New Roman"/>
          <w:i/>
          <w:iCs/>
          <w:szCs w:val="24"/>
          <w:lang w:val="es-CO" w:eastAsia="es-ES"/>
        </w:rPr>
        <w:t> de la reserva de que trata el </w:t>
      </w:r>
      <w:hyperlink r:id="rId24" w:tooltip="Estatuto Tributario CETA" w:history="1">
        <w:r w:rsidRPr="00CB64D0">
          <w:rPr>
            <w:rFonts w:eastAsia="Times New Roman" w:cs="Times New Roman"/>
            <w:i/>
            <w:iCs/>
            <w:szCs w:val="24"/>
            <w:lang w:val="es-CO" w:eastAsia="es-ES"/>
          </w:rPr>
          <w:t>artículo 130</w:t>
        </w:r>
      </w:hyperlink>
      <w:r w:rsidRPr="00CB64D0">
        <w:rPr>
          <w:rFonts w:eastAsia="Times New Roman" w:cs="Times New Roman"/>
          <w:i/>
          <w:iCs/>
          <w:szCs w:val="24"/>
          <w:lang w:val="es-CO" w:eastAsia="es-ES"/>
        </w:rPr>
        <w:t> del Estatuto Tributario y de las utilidades a que se refiere el </w:t>
      </w:r>
      <w:hyperlink r:id="rId25" w:tooltip="Estatuto Tributario CETA" w:history="1">
        <w:r w:rsidRPr="00CB64D0">
          <w:rPr>
            <w:rFonts w:eastAsia="Times New Roman" w:cs="Times New Roman"/>
            <w:i/>
            <w:iCs/>
            <w:szCs w:val="24"/>
            <w:lang w:val="es-CO" w:eastAsia="es-ES"/>
          </w:rPr>
          <w:t>artículo 50</w:t>
        </w:r>
      </w:hyperlink>
      <w:r w:rsidRPr="00CB64D0">
        <w:rPr>
          <w:rFonts w:eastAsia="Times New Roman" w:cs="Times New Roman"/>
          <w:i/>
          <w:iCs/>
          <w:szCs w:val="24"/>
          <w:lang w:val="es-CO" w:eastAsia="es-ES"/>
        </w:rPr>
        <w:t> del Estatuto Tributario, mediante su distribución en acciones o cuotas de interés social, o su traslado a la cuenta de capital. Dicha distribución o capitalización, es un ingreso no constitutivo de renta ni de ganancia ocasional.</w:t>
      </w:r>
    </w:p>
    <w:p w14:paraId="4D0E808A" w14:textId="77777777" w:rsidR="00CB64D0" w:rsidRPr="00CB64D0" w:rsidRDefault="00CB64D0" w:rsidP="00CB64D0">
      <w:pPr>
        <w:spacing w:line="240" w:lineRule="auto"/>
        <w:ind w:left="284"/>
        <w:rPr>
          <w:rFonts w:eastAsia="Times New Roman" w:cs="Times New Roman"/>
          <w:szCs w:val="24"/>
          <w:lang w:eastAsia="es-ES"/>
        </w:rPr>
      </w:pPr>
      <w:r w:rsidRPr="00CB64D0">
        <w:rPr>
          <w:rFonts w:eastAsia="Times New Roman" w:cs="Times New Roman"/>
          <w:szCs w:val="24"/>
          <w:lang w:eastAsia="es-ES"/>
        </w:rPr>
        <w:t> </w:t>
      </w:r>
    </w:p>
    <w:p w14:paraId="40661B61" w14:textId="77777777" w:rsidR="00CB64D0" w:rsidRPr="00CB64D0" w:rsidRDefault="00CB64D0" w:rsidP="00CB64D0">
      <w:pPr>
        <w:spacing w:line="240" w:lineRule="auto"/>
        <w:ind w:left="284"/>
        <w:rPr>
          <w:rFonts w:eastAsia="Times New Roman" w:cs="Times New Roman"/>
          <w:szCs w:val="24"/>
          <w:lang w:eastAsia="es-ES"/>
        </w:rPr>
      </w:pPr>
      <w:r w:rsidRPr="00CB64D0">
        <w:rPr>
          <w:rFonts w:eastAsia="Times New Roman" w:cs="Times New Roman"/>
          <w:i/>
          <w:iCs/>
          <w:szCs w:val="24"/>
          <w:lang w:val="es-CO" w:eastAsia="es-ES"/>
        </w:rPr>
        <w:t>Se entiende realizada la capitalización de la reserva de que trata el </w:t>
      </w:r>
      <w:hyperlink r:id="rId26" w:tooltip="Estatuto Tributario CETA" w:history="1">
        <w:r w:rsidRPr="00CB64D0">
          <w:rPr>
            <w:rFonts w:eastAsia="Times New Roman" w:cs="Times New Roman"/>
            <w:i/>
            <w:iCs/>
            <w:szCs w:val="24"/>
            <w:lang w:val="es-CO" w:eastAsia="es-ES"/>
          </w:rPr>
          <w:t>artículo 130</w:t>
        </w:r>
      </w:hyperlink>
      <w:r w:rsidRPr="00CB64D0">
        <w:rPr>
          <w:rFonts w:eastAsia="Times New Roman" w:cs="Times New Roman"/>
          <w:i/>
          <w:iCs/>
          <w:szCs w:val="24"/>
          <w:lang w:val="es-CO" w:eastAsia="es-ES"/>
        </w:rPr>
        <w:t> del Estatuto Tributario, con la capitalización de utilidades del ejercicio por un valor igual al que resultaría de haberse constituido la reserva.</w:t>
      </w:r>
    </w:p>
    <w:p w14:paraId="28352BA3" w14:textId="77777777" w:rsidR="00CB64D0" w:rsidRPr="00CB64D0" w:rsidRDefault="00CB64D0" w:rsidP="00CB64D0">
      <w:pPr>
        <w:spacing w:line="240" w:lineRule="auto"/>
        <w:ind w:left="284"/>
        <w:rPr>
          <w:rFonts w:eastAsia="Times New Roman" w:cs="Times New Roman"/>
          <w:szCs w:val="24"/>
          <w:lang w:eastAsia="es-ES"/>
        </w:rPr>
      </w:pPr>
      <w:r w:rsidRPr="00CB64D0">
        <w:rPr>
          <w:rFonts w:eastAsia="Times New Roman" w:cs="Times New Roman"/>
          <w:szCs w:val="24"/>
          <w:lang w:eastAsia="es-ES"/>
        </w:rPr>
        <w:t> </w:t>
      </w:r>
    </w:p>
    <w:p w14:paraId="1AD7C610" w14:textId="77777777" w:rsidR="00CB64D0" w:rsidRPr="00CB64D0" w:rsidRDefault="00CB64D0" w:rsidP="00CB64D0">
      <w:pPr>
        <w:spacing w:line="240" w:lineRule="auto"/>
        <w:ind w:left="284"/>
        <w:rPr>
          <w:rFonts w:eastAsia="Times New Roman" w:cs="Times New Roman"/>
          <w:szCs w:val="24"/>
          <w:lang w:eastAsia="es-ES"/>
        </w:rPr>
      </w:pPr>
      <w:r w:rsidRPr="00CB64D0">
        <w:rPr>
          <w:rFonts w:eastAsia="Times New Roman" w:cs="Times New Roman"/>
          <w:i/>
          <w:iCs/>
          <w:szCs w:val="24"/>
          <w:u w:val="single"/>
          <w:lang w:val="es-CO" w:eastAsia="es-ES"/>
        </w:rPr>
        <w:t>Cuando la sociedad esté inscrita en bolsa, se dará el mismo tratamiento tributario a la distribución en acciones o a la capitalización, de las utilidades que excedan de la parte que no constituye renta ni ganancia ocasional de conformidad con los artículos </w:t>
      </w:r>
      <w:hyperlink r:id="rId27" w:tooltip="Estatuto Tributario CETA" w:history="1">
        <w:r w:rsidRPr="00CB64D0">
          <w:rPr>
            <w:rFonts w:eastAsia="Times New Roman" w:cs="Times New Roman"/>
            <w:i/>
            <w:iCs/>
            <w:szCs w:val="24"/>
            <w:lang w:val="es-CO" w:eastAsia="es-ES"/>
          </w:rPr>
          <w:t>48</w:t>
        </w:r>
      </w:hyperlink>
      <w:r w:rsidRPr="00CB64D0">
        <w:rPr>
          <w:rFonts w:eastAsia="Times New Roman" w:cs="Times New Roman"/>
          <w:i/>
          <w:iCs/>
          <w:szCs w:val="24"/>
          <w:u w:val="single"/>
          <w:lang w:val="es-CO" w:eastAsia="es-ES"/>
        </w:rPr>
        <w:t> y </w:t>
      </w:r>
      <w:hyperlink r:id="rId28" w:tooltip="Estatuto Tributario CETA" w:history="1">
        <w:r w:rsidRPr="00CB64D0">
          <w:rPr>
            <w:rFonts w:eastAsia="Times New Roman" w:cs="Times New Roman"/>
            <w:i/>
            <w:iCs/>
            <w:szCs w:val="24"/>
            <w:lang w:val="es-CO" w:eastAsia="es-ES"/>
          </w:rPr>
          <w:t>49 </w:t>
        </w:r>
      </w:hyperlink>
      <w:r w:rsidRPr="00CB64D0">
        <w:rPr>
          <w:rFonts w:eastAsia="Times New Roman" w:cs="Times New Roman"/>
          <w:i/>
          <w:iCs/>
          <w:szCs w:val="24"/>
          <w:u w:val="single"/>
          <w:lang w:val="es-CO" w:eastAsia="es-ES"/>
        </w:rPr>
        <w:t>del Estatuto Tributario.”</w:t>
      </w:r>
      <w:r w:rsidRPr="00CB64D0">
        <w:rPr>
          <w:rFonts w:eastAsia="Times New Roman" w:cs="Times New Roman"/>
          <w:i/>
          <w:iCs/>
          <w:szCs w:val="24"/>
          <w:lang w:val="es-CO" w:eastAsia="es-ES"/>
        </w:rPr>
        <w:t> (el </w:t>
      </w:r>
      <w:hyperlink r:id="rId29" w:tooltip="Estatuto Tributario CETA" w:history="1">
        <w:r w:rsidRPr="00CB64D0">
          <w:rPr>
            <w:rFonts w:eastAsia="Times New Roman" w:cs="Times New Roman"/>
            <w:i/>
            <w:iCs/>
            <w:szCs w:val="24"/>
            <w:lang w:val="es-CO" w:eastAsia="es-ES"/>
          </w:rPr>
          <w:t>artículo 130</w:t>
        </w:r>
      </w:hyperlink>
      <w:r w:rsidRPr="00CB64D0">
        <w:rPr>
          <w:rFonts w:eastAsia="Times New Roman" w:cs="Times New Roman"/>
          <w:i/>
          <w:iCs/>
          <w:szCs w:val="24"/>
          <w:lang w:val="es-CO" w:eastAsia="es-ES"/>
        </w:rPr>
        <w:t> del Estatuto Tributario fue derogado por el artículo 376 de la Ley 1819 de 2016 y, respecto al </w:t>
      </w:r>
      <w:hyperlink r:id="rId30" w:tooltip="Estatuto Tributario CETA" w:history="1">
        <w:r w:rsidRPr="00CB64D0">
          <w:rPr>
            <w:rFonts w:eastAsia="Times New Roman" w:cs="Times New Roman"/>
            <w:i/>
            <w:iCs/>
            <w:szCs w:val="24"/>
            <w:lang w:val="es-CO" w:eastAsia="es-ES"/>
          </w:rPr>
          <w:t>artículo 50</w:t>
        </w:r>
      </w:hyperlink>
      <w:r w:rsidRPr="00CB64D0">
        <w:rPr>
          <w:rFonts w:eastAsia="Times New Roman" w:cs="Times New Roman"/>
          <w:i/>
          <w:iCs/>
          <w:szCs w:val="24"/>
          <w:lang w:val="es-CO" w:eastAsia="es-ES"/>
        </w:rPr>
        <w:t> del Estatuto Tributario, nótese que la Ley 1111 de 2006 eliminó los ajustes integrales por inflación).</w:t>
      </w:r>
    </w:p>
    <w:p w14:paraId="62D60FFA" w14:textId="77777777" w:rsidR="00CB64D0" w:rsidRPr="00CB64D0" w:rsidRDefault="00CB64D0" w:rsidP="00CB64D0">
      <w:pPr>
        <w:spacing w:line="240" w:lineRule="auto"/>
        <w:rPr>
          <w:rFonts w:eastAsia="Times New Roman" w:cs="Times New Roman"/>
          <w:szCs w:val="24"/>
          <w:lang w:eastAsia="es-ES"/>
        </w:rPr>
      </w:pPr>
      <w:r w:rsidRPr="00CB64D0">
        <w:rPr>
          <w:rFonts w:eastAsia="Times New Roman" w:cs="Times New Roman"/>
          <w:szCs w:val="24"/>
          <w:lang w:eastAsia="es-ES"/>
        </w:rPr>
        <w:t> </w:t>
      </w:r>
    </w:p>
    <w:p w14:paraId="492FE48D" w14:textId="77777777" w:rsidR="00CB64D0" w:rsidRPr="00CB64D0" w:rsidRDefault="00CB64D0" w:rsidP="00CB64D0">
      <w:pPr>
        <w:spacing w:line="240" w:lineRule="auto"/>
        <w:rPr>
          <w:rFonts w:eastAsia="Times New Roman" w:cs="Times New Roman"/>
          <w:szCs w:val="24"/>
          <w:lang w:eastAsia="es-ES"/>
        </w:rPr>
      </w:pPr>
      <w:r w:rsidRPr="00CB64D0">
        <w:rPr>
          <w:rFonts w:eastAsia="Times New Roman" w:cs="Times New Roman"/>
          <w:szCs w:val="24"/>
          <w:lang w:val="es-CO" w:eastAsia="es-ES"/>
        </w:rPr>
        <w:t>Teniendo en cuenta las anteriores disposiciones, se desprenden dos tratamientos diferenciales:</w:t>
      </w:r>
    </w:p>
    <w:p w14:paraId="4D5FE34B" w14:textId="77777777" w:rsidR="00CB64D0" w:rsidRPr="00CB64D0" w:rsidRDefault="00CB64D0" w:rsidP="00CB64D0">
      <w:pPr>
        <w:spacing w:line="240" w:lineRule="auto"/>
        <w:ind w:left="284"/>
        <w:rPr>
          <w:rFonts w:eastAsia="Times New Roman" w:cs="Times New Roman"/>
          <w:szCs w:val="24"/>
          <w:lang w:eastAsia="es-ES"/>
        </w:rPr>
      </w:pPr>
      <w:r w:rsidRPr="00CB64D0">
        <w:rPr>
          <w:rFonts w:eastAsia="Times New Roman" w:cs="Times New Roman"/>
          <w:szCs w:val="24"/>
          <w:lang w:eastAsia="es-ES"/>
        </w:rPr>
        <w:t> </w:t>
      </w:r>
    </w:p>
    <w:p w14:paraId="729F8790" w14:textId="77777777" w:rsidR="00CB64D0" w:rsidRPr="00CB64D0" w:rsidRDefault="00CB64D0" w:rsidP="00CB64D0">
      <w:pPr>
        <w:spacing w:line="240" w:lineRule="auto"/>
        <w:ind w:left="284"/>
        <w:rPr>
          <w:rFonts w:eastAsia="Times New Roman" w:cs="Times New Roman"/>
          <w:szCs w:val="24"/>
          <w:lang w:eastAsia="es-ES"/>
        </w:rPr>
      </w:pPr>
      <w:r w:rsidRPr="00CB64D0">
        <w:rPr>
          <w:rFonts w:eastAsia="Times New Roman" w:cs="Times New Roman"/>
          <w:szCs w:val="24"/>
          <w:lang w:val="es-CO" w:eastAsia="es-ES"/>
        </w:rPr>
        <w:t>(i) la distribución de utilidades en acciones o su traslado a la cuenta de capital, </w:t>
      </w:r>
      <w:r w:rsidRPr="00CB64D0">
        <w:rPr>
          <w:rFonts w:eastAsia="Times New Roman" w:cs="Times New Roman"/>
          <w:szCs w:val="24"/>
          <w:u w:val="single"/>
          <w:lang w:val="es-CO" w:eastAsia="es-ES"/>
        </w:rPr>
        <w:t>ambas como producto de la capitalización de la cuenta de Revalorización del Patrimonio</w:t>
      </w:r>
      <w:r w:rsidRPr="00CB64D0">
        <w:rPr>
          <w:rFonts w:eastAsia="Times New Roman" w:cs="Times New Roman"/>
          <w:szCs w:val="24"/>
          <w:lang w:val="es-CO" w:eastAsia="es-ES"/>
        </w:rPr>
        <w:t>, constituyen ingresos no constitutivos de renta ni ganancia ocasional, y</w:t>
      </w:r>
    </w:p>
    <w:p w14:paraId="6D209EEA" w14:textId="77777777" w:rsidR="00CB64D0" w:rsidRPr="00CB64D0" w:rsidRDefault="00CB64D0" w:rsidP="00CB64D0">
      <w:pPr>
        <w:spacing w:line="240" w:lineRule="auto"/>
        <w:ind w:left="284"/>
        <w:rPr>
          <w:rFonts w:eastAsia="Times New Roman" w:cs="Times New Roman"/>
          <w:szCs w:val="24"/>
          <w:lang w:eastAsia="es-ES"/>
        </w:rPr>
      </w:pPr>
      <w:r w:rsidRPr="00CB64D0">
        <w:rPr>
          <w:rFonts w:eastAsia="Times New Roman" w:cs="Times New Roman"/>
          <w:szCs w:val="24"/>
          <w:lang w:eastAsia="es-ES"/>
        </w:rPr>
        <w:t> </w:t>
      </w:r>
    </w:p>
    <w:p w14:paraId="177D5DBD" w14:textId="77777777" w:rsidR="00CB64D0" w:rsidRPr="00CB64D0" w:rsidRDefault="00CB64D0" w:rsidP="00CB64D0">
      <w:pPr>
        <w:spacing w:line="240" w:lineRule="auto"/>
        <w:ind w:left="284"/>
        <w:rPr>
          <w:rFonts w:eastAsia="Times New Roman" w:cs="Times New Roman"/>
          <w:szCs w:val="24"/>
          <w:lang w:eastAsia="es-ES"/>
        </w:rPr>
      </w:pPr>
      <w:r w:rsidRPr="00CB64D0">
        <w:rPr>
          <w:rFonts w:eastAsia="Times New Roman" w:cs="Times New Roman"/>
          <w:szCs w:val="24"/>
          <w:lang w:val="es-CO" w:eastAsia="es-ES"/>
        </w:rPr>
        <w:t>(</w:t>
      </w:r>
      <w:proofErr w:type="spellStart"/>
      <w:r w:rsidRPr="00CB64D0">
        <w:rPr>
          <w:rFonts w:eastAsia="Times New Roman" w:cs="Times New Roman"/>
          <w:szCs w:val="24"/>
          <w:lang w:val="es-CO" w:eastAsia="es-ES"/>
        </w:rPr>
        <w:t>ii</w:t>
      </w:r>
      <w:proofErr w:type="spellEnd"/>
      <w:r w:rsidRPr="00CB64D0">
        <w:rPr>
          <w:rFonts w:eastAsia="Times New Roman" w:cs="Times New Roman"/>
          <w:szCs w:val="24"/>
          <w:lang w:val="es-CO" w:eastAsia="es-ES"/>
        </w:rPr>
        <w:t>) </w:t>
      </w:r>
      <w:r w:rsidRPr="00CB64D0">
        <w:rPr>
          <w:rFonts w:eastAsia="Times New Roman" w:cs="Times New Roman"/>
          <w:szCs w:val="24"/>
          <w:u w:val="single"/>
          <w:lang w:val="es-CO" w:eastAsia="es-ES"/>
        </w:rPr>
        <w:t>cuando la sociedad esté inscrita en bolsa</w:t>
      </w:r>
      <w:r w:rsidRPr="00CB64D0">
        <w:rPr>
          <w:rFonts w:eastAsia="Times New Roman" w:cs="Times New Roman"/>
          <w:szCs w:val="24"/>
          <w:lang w:val="es-CO" w:eastAsia="es-ES"/>
        </w:rPr>
        <w:t>, la distribución en acciones o la capitalización, </w:t>
      </w:r>
      <w:r w:rsidRPr="00CB64D0">
        <w:rPr>
          <w:rFonts w:eastAsia="Times New Roman" w:cs="Times New Roman"/>
          <w:szCs w:val="24"/>
          <w:u w:val="single"/>
          <w:lang w:val="es-CO" w:eastAsia="es-ES"/>
        </w:rPr>
        <w:t xml:space="preserve">constitutivos de dividendos gravados para los accionistas de conformidad con </w:t>
      </w:r>
      <w:r w:rsidRPr="00CB64D0">
        <w:rPr>
          <w:rFonts w:eastAsia="Times New Roman" w:cs="Times New Roman"/>
          <w:szCs w:val="24"/>
          <w:u w:val="single"/>
          <w:lang w:val="es-CO" w:eastAsia="es-ES"/>
        </w:rPr>
        <w:lastRenderedPageBreak/>
        <w:t>los artículos </w:t>
      </w:r>
      <w:hyperlink r:id="rId31" w:tooltip="Estatuto Tributario CETA" w:history="1">
        <w:r w:rsidRPr="00CB64D0">
          <w:rPr>
            <w:rFonts w:eastAsia="Times New Roman" w:cs="Times New Roman"/>
            <w:szCs w:val="24"/>
            <w:lang w:val="es-CO" w:eastAsia="es-ES"/>
          </w:rPr>
          <w:t>48 </w:t>
        </w:r>
      </w:hyperlink>
      <w:r w:rsidRPr="00CB64D0">
        <w:rPr>
          <w:rFonts w:eastAsia="Times New Roman" w:cs="Times New Roman"/>
          <w:szCs w:val="24"/>
          <w:u w:val="single"/>
          <w:lang w:val="es-CO" w:eastAsia="es-ES"/>
        </w:rPr>
        <w:t>y </w:t>
      </w:r>
      <w:hyperlink r:id="rId32" w:tooltip="Estatuto Tributario CETA" w:history="1">
        <w:r w:rsidRPr="00CB64D0">
          <w:rPr>
            <w:rFonts w:eastAsia="Times New Roman" w:cs="Times New Roman"/>
            <w:szCs w:val="24"/>
            <w:lang w:val="es-CO" w:eastAsia="es-ES"/>
          </w:rPr>
          <w:t>49 </w:t>
        </w:r>
      </w:hyperlink>
      <w:r w:rsidRPr="00CB64D0">
        <w:rPr>
          <w:rFonts w:eastAsia="Times New Roman" w:cs="Times New Roman"/>
          <w:szCs w:val="24"/>
          <w:u w:val="single"/>
          <w:lang w:val="es-CO" w:eastAsia="es-ES"/>
        </w:rPr>
        <w:t>del Estatuto Tributario,</w:t>
      </w:r>
      <w:r w:rsidRPr="00CB64D0">
        <w:rPr>
          <w:rFonts w:eastAsia="Times New Roman" w:cs="Times New Roman"/>
          <w:szCs w:val="24"/>
          <w:lang w:val="es-CO" w:eastAsia="es-ES"/>
        </w:rPr>
        <w:t> se consideran ingresos no constitutivos de renta ni ganancia ocasional.</w:t>
      </w:r>
    </w:p>
    <w:p w14:paraId="3F81D056" w14:textId="77777777" w:rsidR="00CB64D0" w:rsidRPr="00CB64D0" w:rsidRDefault="00CB64D0" w:rsidP="00CB64D0">
      <w:pPr>
        <w:spacing w:line="240" w:lineRule="auto"/>
        <w:rPr>
          <w:rFonts w:eastAsia="Times New Roman" w:cs="Times New Roman"/>
          <w:szCs w:val="24"/>
          <w:lang w:eastAsia="es-ES"/>
        </w:rPr>
      </w:pPr>
      <w:r w:rsidRPr="00CB64D0">
        <w:rPr>
          <w:rFonts w:eastAsia="Times New Roman" w:cs="Times New Roman"/>
          <w:szCs w:val="24"/>
          <w:lang w:eastAsia="es-ES"/>
        </w:rPr>
        <w:t> </w:t>
      </w:r>
    </w:p>
    <w:p w14:paraId="72224151" w14:textId="77777777" w:rsidR="00CB64D0" w:rsidRPr="00CB64D0" w:rsidRDefault="00CB64D0" w:rsidP="00CB64D0">
      <w:pPr>
        <w:spacing w:line="240" w:lineRule="auto"/>
        <w:rPr>
          <w:rFonts w:eastAsia="Times New Roman" w:cs="Times New Roman"/>
          <w:szCs w:val="24"/>
          <w:lang w:eastAsia="es-ES"/>
        </w:rPr>
      </w:pPr>
      <w:r w:rsidRPr="00CB64D0">
        <w:rPr>
          <w:rFonts w:eastAsia="Times New Roman" w:cs="Times New Roman"/>
          <w:szCs w:val="24"/>
          <w:lang w:val="es-CO" w:eastAsia="es-ES"/>
        </w:rPr>
        <w:t>Respecto a este punto (</w:t>
      </w:r>
      <w:proofErr w:type="spellStart"/>
      <w:r w:rsidRPr="00CB64D0">
        <w:rPr>
          <w:rFonts w:eastAsia="Times New Roman" w:cs="Times New Roman"/>
          <w:szCs w:val="24"/>
          <w:lang w:val="es-CO" w:eastAsia="es-ES"/>
        </w:rPr>
        <w:t>ii</w:t>
      </w:r>
      <w:proofErr w:type="spellEnd"/>
      <w:r w:rsidRPr="00CB64D0">
        <w:rPr>
          <w:rFonts w:eastAsia="Times New Roman" w:cs="Times New Roman"/>
          <w:szCs w:val="24"/>
          <w:lang w:val="es-CO" w:eastAsia="es-ES"/>
        </w:rPr>
        <w:t>), es importante tener en cuenta que los dividendos no gravados para los accionistas tienen la naturaleza de ingreso no constitutivo de renta ni ganancia ocasional, conforme a lo dispuesto en el numeral 3 del </w:t>
      </w:r>
      <w:hyperlink r:id="rId33" w:tooltip="Estatuto Tributario CETA" w:history="1">
        <w:r w:rsidRPr="00CB64D0">
          <w:rPr>
            <w:rFonts w:eastAsia="Times New Roman" w:cs="Times New Roman"/>
            <w:szCs w:val="24"/>
            <w:lang w:val="es-CO" w:eastAsia="es-ES"/>
          </w:rPr>
          <w:t>artículo 49</w:t>
        </w:r>
      </w:hyperlink>
      <w:r w:rsidRPr="00CB64D0">
        <w:rPr>
          <w:rFonts w:eastAsia="Times New Roman" w:cs="Times New Roman"/>
          <w:szCs w:val="24"/>
          <w:lang w:val="es-CO" w:eastAsia="es-ES"/>
        </w:rPr>
        <w:t> del Estatuto Tributario. En este orden de ideas, y </w:t>
      </w:r>
      <w:r w:rsidRPr="00CB64D0">
        <w:rPr>
          <w:rFonts w:eastAsia="Times New Roman" w:cs="Times New Roman"/>
          <w:szCs w:val="24"/>
          <w:u w:val="single"/>
          <w:lang w:val="es-CO" w:eastAsia="es-ES"/>
        </w:rPr>
        <w:t>respecto a las sociedades inscritas en bolsa</w:t>
      </w:r>
      <w:r w:rsidRPr="00CB64D0">
        <w:rPr>
          <w:rFonts w:eastAsia="Times New Roman" w:cs="Times New Roman"/>
          <w:szCs w:val="24"/>
          <w:lang w:val="es-CO" w:eastAsia="es-ES"/>
        </w:rPr>
        <w:t>, el </w:t>
      </w:r>
      <w:hyperlink r:id="rId34" w:tooltip="Estatuto Tributario CETA" w:history="1">
        <w:r w:rsidRPr="00CB64D0">
          <w:rPr>
            <w:rFonts w:eastAsia="Times New Roman" w:cs="Times New Roman"/>
            <w:szCs w:val="24"/>
            <w:lang w:val="es-CO" w:eastAsia="es-ES"/>
          </w:rPr>
          <w:t>artículo 36-3</w:t>
        </w:r>
      </w:hyperlink>
      <w:r w:rsidRPr="00CB64D0">
        <w:rPr>
          <w:rFonts w:eastAsia="Times New Roman" w:cs="Times New Roman"/>
          <w:szCs w:val="24"/>
          <w:lang w:val="es-CO" w:eastAsia="es-ES"/>
        </w:rPr>
        <w:t> del Estatuto Tributario tiene como propósito dar el tratamiento de dividendos no gravados, cuando se distribuyan las utilidades en acciones o se capitalicen, aun cuando excedan del cálculo señalado en el </w:t>
      </w:r>
      <w:hyperlink r:id="rId35" w:tooltip="Estatuto Tributario CETA" w:history="1">
        <w:r w:rsidRPr="00CB64D0">
          <w:rPr>
            <w:rFonts w:eastAsia="Times New Roman" w:cs="Times New Roman"/>
            <w:szCs w:val="24"/>
            <w:lang w:val="es-CO" w:eastAsia="es-ES"/>
          </w:rPr>
          <w:t>artículo 49</w:t>
        </w:r>
      </w:hyperlink>
      <w:r w:rsidRPr="00CB64D0">
        <w:rPr>
          <w:rFonts w:eastAsia="Times New Roman" w:cs="Times New Roman"/>
          <w:szCs w:val="24"/>
          <w:lang w:val="es-CO" w:eastAsia="es-ES"/>
        </w:rPr>
        <w:t> del Estatuto Tributario.</w:t>
      </w:r>
    </w:p>
    <w:p w14:paraId="2730A49B" w14:textId="77777777" w:rsidR="00CB64D0" w:rsidRPr="00CB64D0" w:rsidRDefault="00CB64D0" w:rsidP="00CB64D0">
      <w:pPr>
        <w:spacing w:line="240" w:lineRule="auto"/>
        <w:rPr>
          <w:rFonts w:eastAsia="Times New Roman" w:cs="Times New Roman"/>
          <w:szCs w:val="24"/>
          <w:lang w:eastAsia="es-ES"/>
        </w:rPr>
      </w:pPr>
      <w:r w:rsidRPr="00CB64D0">
        <w:rPr>
          <w:rFonts w:eastAsia="Times New Roman" w:cs="Times New Roman"/>
          <w:szCs w:val="24"/>
          <w:lang w:eastAsia="es-ES"/>
        </w:rPr>
        <w:t> </w:t>
      </w:r>
    </w:p>
    <w:p w14:paraId="1027A29B" w14:textId="77777777" w:rsidR="00CB64D0" w:rsidRPr="00CB64D0" w:rsidRDefault="00CB64D0" w:rsidP="00CB64D0">
      <w:pPr>
        <w:spacing w:line="240" w:lineRule="auto"/>
        <w:rPr>
          <w:rFonts w:eastAsia="Times New Roman" w:cs="Times New Roman"/>
          <w:szCs w:val="24"/>
          <w:lang w:eastAsia="es-ES"/>
        </w:rPr>
      </w:pPr>
      <w:r w:rsidRPr="00CB64D0">
        <w:rPr>
          <w:rFonts w:eastAsia="Times New Roman" w:cs="Times New Roman"/>
          <w:szCs w:val="24"/>
          <w:lang w:val="es-CO" w:eastAsia="es-ES"/>
        </w:rPr>
        <w:t>C. </w:t>
      </w:r>
      <w:r w:rsidRPr="00CB64D0">
        <w:rPr>
          <w:rFonts w:eastAsia="Times New Roman" w:cs="Times New Roman"/>
          <w:szCs w:val="24"/>
          <w:u w:val="single"/>
          <w:lang w:val="es-CO" w:eastAsia="es-ES"/>
        </w:rPr>
        <w:t>Impuesto sobre la renta correspondiente a dividendos</w:t>
      </w:r>
    </w:p>
    <w:p w14:paraId="5B95D50C" w14:textId="77777777" w:rsidR="00CB64D0" w:rsidRPr="00CB64D0" w:rsidRDefault="00CB64D0" w:rsidP="00CB64D0">
      <w:pPr>
        <w:spacing w:line="240" w:lineRule="auto"/>
        <w:rPr>
          <w:rFonts w:eastAsia="Times New Roman" w:cs="Times New Roman"/>
          <w:szCs w:val="24"/>
          <w:lang w:eastAsia="es-ES"/>
        </w:rPr>
      </w:pPr>
      <w:r w:rsidRPr="00CB64D0">
        <w:rPr>
          <w:rFonts w:eastAsia="Times New Roman" w:cs="Times New Roman"/>
          <w:szCs w:val="24"/>
          <w:lang w:eastAsia="es-ES"/>
        </w:rPr>
        <w:t> </w:t>
      </w:r>
    </w:p>
    <w:p w14:paraId="1E1B04CE" w14:textId="77777777" w:rsidR="00CB64D0" w:rsidRPr="00CB64D0" w:rsidRDefault="00CB64D0" w:rsidP="00CB64D0">
      <w:pPr>
        <w:spacing w:line="240" w:lineRule="auto"/>
        <w:rPr>
          <w:rFonts w:eastAsia="Times New Roman" w:cs="Times New Roman"/>
          <w:szCs w:val="24"/>
          <w:lang w:eastAsia="es-ES"/>
        </w:rPr>
      </w:pPr>
      <w:proofErr w:type="gramStart"/>
      <w:r w:rsidRPr="00CB64D0">
        <w:rPr>
          <w:rFonts w:eastAsia="Times New Roman" w:cs="Times New Roman"/>
          <w:szCs w:val="24"/>
          <w:lang w:val="es-CO" w:eastAsia="es-ES"/>
        </w:rPr>
        <w:t>La leyes</w:t>
      </w:r>
      <w:proofErr w:type="gramEnd"/>
      <w:r w:rsidRPr="00CB64D0">
        <w:rPr>
          <w:rFonts w:eastAsia="Times New Roman" w:cs="Times New Roman"/>
          <w:szCs w:val="24"/>
          <w:lang w:val="es-CO" w:eastAsia="es-ES"/>
        </w:rPr>
        <w:t xml:space="preserve"> 1819 de 2016, 1943 de 2018 y 2010 de 2019 incorporaron disposiciones al marco tributario en relación con el impuesto sobre la renta aplicable a los dividendos y participaciones. Asimismo, dichas leyes consagraron distintos regímenes de transición en relación con la distribución de dividendos.</w:t>
      </w:r>
    </w:p>
    <w:p w14:paraId="0D940557" w14:textId="77777777" w:rsidR="00CB64D0" w:rsidRPr="00CB64D0" w:rsidRDefault="00CB64D0" w:rsidP="00CB64D0">
      <w:pPr>
        <w:spacing w:line="240" w:lineRule="auto"/>
        <w:rPr>
          <w:rFonts w:eastAsia="Times New Roman" w:cs="Times New Roman"/>
          <w:szCs w:val="24"/>
          <w:lang w:eastAsia="es-ES"/>
        </w:rPr>
      </w:pPr>
      <w:r w:rsidRPr="00CB64D0">
        <w:rPr>
          <w:rFonts w:eastAsia="Times New Roman" w:cs="Times New Roman"/>
          <w:szCs w:val="24"/>
          <w:lang w:eastAsia="es-ES"/>
        </w:rPr>
        <w:t> </w:t>
      </w:r>
    </w:p>
    <w:p w14:paraId="029D9E6B" w14:textId="77777777" w:rsidR="00CB64D0" w:rsidRPr="00CB64D0" w:rsidRDefault="00CB64D0" w:rsidP="00CB64D0">
      <w:pPr>
        <w:spacing w:line="240" w:lineRule="auto"/>
        <w:rPr>
          <w:rFonts w:eastAsia="Times New Roman" w:cs="Times New Roman"/>
          <w:szCs w:val="24"/>
          <w:lang w:eastAsia="es-ES"/>
        </w:rPr>
      </w:pPr>
      <w:r w:rsidRPr="00CB64D0">
        <w:rPr>
          <w:rFonts w:eastAsia="Times New Roman" w:cs="Times New Roman"/>
          <w:szCs w:val="24"/>
          <w:lang w:val="es-CO" w:eastAsia="es-ES"/>
        </w:rPr>
        <w:t>Teniendo en cuenta las anteriores consideraciones, este Despacho profirió los Oficios 015142 de 11 de junio de 2019 y 006313 del 13 de marzo de 2019, en donde se indicó que:</w:t>
      </w:r>
    </w:p>
    <w:p w14:paraId="73D3311B" w14:textId="77777777" w:rsidR="00CB64D0" w:rsidRPr="00CB64D0" w:rsidRDefault="00CB64D0" w:rsidP="00CB64D0">
      <w:pPr>
        <w:spacing w:line="240" w:lineRule="auto"/>
        <w:ind w:left="284"/>
        <w:rPr>
          <w:rFonts w:eastAsia="Times New Roman" w:cs="Times New Roman"/>
          <w:szCs w:val="24"/>
          <w:lang w:eastAsia="es-ES"/>
        </w:rPr>
      </w:pPr>
      <w:r w:rsidRPr="00CB64D0">
        <w:rPr>
          <w:rFonts w:eastAsia="Times New Roman" w:cs="Times New Roman"/>
          <w:szCs w:val="24"/>
          <w:lang w:eastAsia="es-ES"/>
        </w:rPr>
        <w:t> </w:t>
      </w:r>
    </w:p>
    <w:p w14:paraId="080FC888" w14:textId="77777777" w:rsidR="00CB64D0" w:rsidRPr="00CB64D0" w:rsidRDefault="00CB64D0" w:rsidP="00CB64D0">
      <w:pPr>
        <w:spacing w:line="240" w:lineRule="auto"/>
        <w:ind w:left="284"/>
        <w:rPr>
          <w:rFonts w:eastAsia="Times New Roman" w:cs="Times New Roman"/>
          <w:szCs w:val="24"/>
          <w:lang w:eastAsia="es-ES"/>
        </w:rPr>
      </w:pPr>
      <w:r w:rsidRPr="00CB64D0">
        <w:rPr>
          <w:rFonts w:eastAsia="Times New Roman" w:cs="Times New Roman"/>
          <w:i/>
          <w:iCs/>
          <w:szCs w:val="24"/>
          <w:lang w:val="es-CO" w:eastAsia="es-ES"/>
        </w:rPr>
        <w:t>“a) Los dividendos que se repartan </w:t>
      </w:r>
      <w:r w:rsidRPr="00CB64D0">
        <w:rPr>
          <w:rFonts w:eastAsia="Times New Roman" w:cs="Times New Roman"/>
          <w:b/>
          <w:bCs/>
          <w:i/>
          <w:iCs/>
          <w:szCs w:val="24"/>
          <w:u w:val="single"/>
          <w:lang w:val="es-CO" w:eastAsia="es-ES"/>
        </w:rPr>
        <w:t>con cargo a utilidades generadas antes del 31 de diciembre de 2016,</w:t>
      </w:r>
      <w:r w:rsidRPr="00CB64D0">
        <w:rPr>
          <w:rFonts w:eastAsia="Times New Roman" w:cs="Times New Roman"/>
          <w:i/>
          <w:iCs/>
          <w:szCs w:val="24"/>
          <w:lang w:val="es-CO" w:eastAsia="es-ES"/>
        </w:rPr>
        <w:t> no le será aplicable la tarifa especial para dividendos establecida en la Ley 1819 de 2016 ni los cambios incluidos por la Ley 1943 de 2018.</w:t>
      </w:r>
    </w:p>
    <w:p w14:paraId="608CCD37" w14:textId="77777777" w:rsidR="00CB64D0" w:rsidRPr="00CB64D0" w:rsidRDefault="00CB64D0" w:rsidP="00CB64D0">
      <w:pPr>
        <w:spacing w:line="240" w:lineRule="auto"/>
        <w:ind w:left="284"/>
        <w:rPr>
          <w:rFonts w:eastAsia="Times New Roman" w:cs="Times New Roman"/>
          <w:szCs w:val="24"/>
          <w:lang w:eastAsia="es-ES"/>
        </w:rPr>
      </w:pPr>
      <w:r w:rsidRPr="00CB64D0">
        <w:rPr>
          <w:rFonts w:eastAsia="Times New Roman" w:cs="Times New Roman"/>
          <w:szCs w:val="24"/>
          <w:lang w:eastAsia="es-ES"/>
        </w:rPr>
        <w:t> </w:t>
      </w:r>
    </w:p>
    <w:p w14:paraId="14A99F95" w14:textId="77777777" w:rsidR="00CB64D0" w:rsidRPr="00CB64D0" w:rsidRDefault="00CB64D0" w:rsidP="00CB64D0">
      <w:pPr>
        <w:spacing w:line="240" w:lineRule="auto"/>
        <w:ind w:left="284"/>
        <w:rPr>
          <w:rFonts w:eastAsia="Times New Roman" w:cs="Times New Roman"/>
          <w:szCs w:val="24"/>
          <w:lang w:eastAsia="es-ES"/>
        </w:rPr>
      </w:pPr>
      <w:r w:rsidRPr="00CB64D0">
        <w:rPr>
          <w:rFonts w:eastAsia="Times New Roman" w:cs="Times New Roman"/>
          <w:i/>
          <w:iCs/>
          <w:szCs w:val="24"/>
          <w:lang w:val="es-CO" w:eastAsia="es-ES"/>
        </w:rPr>
        <w:t>b) Los dividendos que se repartan con cargo a </w:t>
      </w:r>
      <w:r w:rsidRPr="00CB64D0">
        <w:rPr>
          <w:rFonts w:eastAsia="Times New Roman" w:cs="Times New Roman"/>
          <w:b/>
          <w:bCs/>
          <w:i/>
          <w:iCs/>
          <w:szCs w:val="24"/>
          <w:lang w:val="es-CO" w:eastAsia="es-ES"/>
        </w:rPr>
        <w:t>utilidades generadas entre el 01 de enero de 2017 y el 31 de diciembre de 2018, que hayan sido decretados en calidad de exigibles antes del 31 de diciembre de 2018, les serán aplicables las normas incluidas en la Ley 1819 de 2016</w:t>
      </w:r>
      <w:r w:rsidRPr="00CB64D0">
        <w:rPr>
          <w:rFonts w:eastAsia="Times New Roman" w:cs="Times New Roman"/>
          <w:i/>
          <w:iCs/>
          <w:szCs w:val="24"/>
          <w:lang w:val="es-CO" w:eastAsia="es-ES"/>
        </w:rPr>
        <w:t> y no los cambios incluidos por la Ley 1943 de 2018.</w:t>
      </w:r>
    </w:p>
    <w:p w14:paraId="4A5BE07C" w14:textId="77777777" w:rsidR="00CB64D0" w:rsidRPr="00CB64D0" w:rsidRDefault="00CB64D0" w:rsidP="00CB64D0">
      <w:pPr>
        <w:spacing w:line="240" w:lineRule="auto"/>
        <w:ind w:left="284"/>
        <w:rPr>
          <w:rFonts w:eastAsia="Times New Roman" w:cs="Times New Roman"/>
          <w:szCs w:val="24"/>
          <w:lang w:eastAsia="es-ES"/>
        </w:rPr>
      </w:pPr>
      <w:r w:rsidRPr="00CB64D0">
        <w:rPr>
          <w:rFonts w:eastAsia="Times New Roman" w:cs="Times New Roman"/>
          <w:szCs w:val="24"/>
          <w:lang w:eastAsia="es-ES"/>
        </w:rPr>
        <w:t> </w:t>
      </w:r>
    </w:p>
    <w:p w14:paraId="41BFC838" w14:textId="77777777" w:rsidR="00CB64D0" w:rsidRPr="00CB64D0" w:rsidRDefault="00CB64D0" w:rsidP="00CB64D0">
      <w:pPr>
        <w:spacing w:line="240" w:lineRule="auto"/>
        <w:ind w:left="284"/>
        <w:rPr>
          <w:rFonts w:eastAsia="Times New Roman" w:cs="Times New Roman"/>
          <w:szCs w:val="24"/>
          <w:lang w:eastAsia="es-ES"/>
        </w:rPr>
      </w:pPr>
      <w:r w:rsidRPr="00CB64D0">
        <w:rPr>
          <w:rFonts w:eastAsia="Times New Roman" w:cs="Times New Roman"/>
          <w:i/>
          <w:iCs/>
          <w:szCs w:val="24"/>
          <w:lang w:val="es-CO" w:eastAsia="es-ES"/>
        </w:rPr>
        <w:t>c) </w:t>
      </w:r>
      <w:r w:rsidRPr="00CB64D0">
        <w:rPr>
          <w:rFonts w:eastAsia="Times New Roman" w:cs="Times New Roman"/>
          <w:b/>
          <w:bCs/>
          <w:i/>
          <w:iCs/>
          <w:szCs w:val="24"/>
          <w:lang w:val="es-CO" w:eastAsia="es-ES"/>
        </w:rPr>
        <w:t>Los dividendos que se repartan con cargo a utilidades generadas a partir del 01 de enero de 2017 que no hayan sido decretados en calidad de exigibles antes del 31 de diciembre de 2018,</w:t>
      </w:r>
      <w:r w:rsidRPr="00CB64D0">
        <w:rPr>
          <w:rFonts w:eastAsia="Times New Roman" w:cs="Times New Roman"/>
          <w:i/>
          <w:iCs/>
          <w:szCs w:val="24"/>
          <w:lang w:val="es-CO" w:eastAsia="es-ES"/>
        </w:rPr>
        <w:t> les serán aplicables los cambios incluidos en la Ley 1943 de 2018 respecto a la tarifa especial para dividendos.</w:t>
      </w:r>
    </w:p>
    <w:p w14:paraId="7570D7A5" w14:textId="77777777" w:rsidR="00CB64D0" w:rsidRPr="00CB64D0" w:rsidRDefault="00CB64D0" w:rsidP="00CB64D0">
      <w:pPr>
        <w:spacing w:line="240" w:lineRule="auto"/>
        <w:ind w:left="284"/>
        <w:rPr>
          <w:rFonts w:eastAsia="Times New Roman" w:cs="Times New Roman"/>
          <w:szCs w:val="24"/>
          <w:lang w:eastAsia="es-ES"/>
        </w:rPr>
      </w:pPr>
      <w:r w:rsidRPr="00CB64D0">
        <w:rPr>
          <w:rFonts w:eastAsia="Times New Roman" w:cs="Times New Roman"/>
          <w:szCs w:val="24"/>
          <w:lang w:eastAsia="es-ES"/>
        </w:rPr>
        <w:t> </w:t>
      </w:r>
    </w:p>
    <w:p w14:paraId="050DC3D7" w14:textId="77777777" w:rsidR="00CB64D0" w:rsidRPr="00CB64D0" w:rsidRDefault="00CB64D0" w:rsidP="00CB64D0">
      <w:pPr>
        <w:spacing w:line="240" w:lineRule="auto"/>
        <w:ind w:left="284"/>
        <w:rPr>
          <w:rFonts w:eastAsia="Times New Roman" w:cs="Times New Roman"/>
          <w:szCs w:val="24"/>
          <w:lang w:eastAsia="es-ES"/>
        </w:rPr>
      </w:pPr>
      <w:r w:rsidRPr="00CB64D0">
        <w:rPr>
          <w:rFonts w:eastAsia="Times New Roman" w:cs="Times New Roman"/>
          <w:i/>
          <w:iCs/>
          <w:szCs w:val="24"/>
          <w:lang w:val="es-CO" w:eastAsia="es-ES"/>
        </w:rPr>
        <w:t>(...)</w:t>
      </w:r>
    </w:p>
    <w:p w14:paraId="7C1EBBFC" w14:textId="77777777" w:rsidR="00CB64D0" w:rsidRPr="00CB64D0" w:rsidRDefault="00CB64D0" w:rsidP="00CB64D0">
      <w:pPr>
        <w:spacing w:line="240" w:lineRule="auto"/>
        <w:ind w:left="284"/>
        <w:rPr>
          <w:rFonts w:eastAsia="Times New Roman" w:cs="Times New Roman"/>
          <w:szCs w:val="24"/>
          <w:lang w:val="es-CO" w:eastAsia="es-ES"/>
        </w:rPr>
      </w:pPr>
      <w:r w:rsidRPr="00CB64D0">
        <w:rPr>
          <w:rFonts w:eastAsia="Times New Roman" w:cs="Times New Roman"/>
          <w:szCs w:val="24"/>
          <w:lang w:val="es-CO" w:eastAsia="es-ES"/>
        </w:rPr>
        <w:t> </w:t>
      </w:r>
    </w:p>
    <w:p w14:paraId="421EAB2E" w14:textId="77777777" w:rsidR="00CB64D0" w:rsidRPr="00CB64D0" w:rsidRDefault="00CB64D0" w:rsidP="00CB64D0">
      <w:pPr>
        <w:spacing w:line="240" w:lineRule="auto"/>
        <w:ind w:left="284"/>
        <w:rPr>
          <w:rFonts w:eastAsia="Times New Roman" w:cs="Times New Roman"/>
          <w:szCs w:val="24"/>
          <w:lang w:val="es-CO" w:eastAsia="es-ES"/>
        </w:rPr>
      </w:pPr>
      <w:r w:rsidRPr="00CB64D0">
        <w:rPr>
          <w:rFonts w:eastAsia="Times New Roman" w:cs="Times New Roman"/>
          <w:i/>
          <w:iCs/>
          <w:szCs w:val="24"/>
          <w:lang w:val="es-CO" w:eastAsia="es-ES"/>
        </w:rPr>
        <w:t>Sobre el alcance jurídico del término «decretados en calidad de exigibles» que incluye el artículo 121 de la Ley 1943 de 2018, la mencionada doctrina señala que estos corresponden a los dividendos que fueron decretados por la Asamblea General de Accionistas, cumpliendo con la totalidad de los requisitos establecidos en el Código de Comercio y demás normas sobre la materia”.</w:t>
      </w:r>
      <w:r w:rsidRPr="00CB64D0">
        <w:rPr>
          <w:rFonts w:eastAsia="Times New Roman" w:cs="Times New Roman"/>
          <w:szCs w:val="24"/>
          <w:lang w:val="es-CO" w:eastAsia="es-ES"/>
        </w:rPr>
        <w:t> (Negrillas fuera del texto original).</w:t>
      </w:r>
    </w:p>
    <w:p w14:paraId="2D99EEA3" w14:textId="77777777" w:rsidR="00CB64D0" w:rsidRPr="00CB64D0" w:rsidRDefault="00CB64D0" w:rsidP="00CB64D0">
      <w:pPr>
        <w:spacing w:line="240" w:lineRule="auto"/>
        <w:rPr>
          <w:rFonts w:eastAsia="Times New Roman" w:cs="Times New Roman"/>
          <w:szCs w:val="24"/>
          <w:lang w:val="es-CO" w:eastAsia="es-ES"/>
        </w:rPr>
      </w:pPr>
      <w:r w:rsidRPr="00CB64D0">
        <w:rPr>
          <w:rFonts w:eastAsia="Times New Roman" w:cs="Times New Roman"/>
          <w:szCs w:val="24"/>
          <w:lang w:val="es-CO" w:eastAsia="es-ES"/>
        </w:rPr>
        <w:t> </w:t>
      </w:r>
    </w:p>
    <w:p w14:paraId="05649E69" w14:textId="77777777" w:rsidR="00CB64D0" w:rsidRPr="00CB64D0" w:rsidRDefault="00CB64D0" w:rsidP="00CB64D0">
      <w:pPr>
        <w:spacing w:line="240" w:lineRule="auto"/>
        <w:rPr>
          <w:rFonts w:eastAsia="Times New Roman" w:cs="Times New Roman"/>
          <w:szCs w:val="24"/>
          <w:lang w:val="es-CO" w:eastAsia="es-ES"/>
        </w:rPr>
      </w:pPr>
      <w:r w:rsidRPr="00CB64D0">
        <w:rPr>
          <w:rFonts w:eastAsia="Times New Roman" w:cs="Times New Roman"/>
          <w:b/>
          <w:bCs/>
          <w:szCs w:val="24"/>
          <w:lang w:val="es-CO" w:eastAsia="es-ES"/>
        </w:rPr>
        <w:t>2. Comentarios en relación con la consulta</w:t>
      </w:r>
    </w:p>
    <w:p w14:paraId="001DE8A8" w14:textId="77777777" w:rsidR="00CB64D0" w:rsidRPr="00CB64D0" w:rsidRDefault="00CB64D0" w:rsidP="00CB64D0">
      <w:pPr>
        <w:spacing w:line="240" w:lineRule="auto"/>
        <w:rPr>
          <w:rFonts w:eastAsia="Times New Roman" w:cs="Times New Roman"/>
          <w:szCs w:val="24"/>
          <w:lang w:val="es-CO" w:eastAsia="es-ES"/>
        </w:rPr>
      </w:pPr>
      <w:r w:rsidRPr="00CB64D0">
        <w:rPr>
          <w:rFonts w:eastAsia="Times New Roman" w:cs="Times New Roman"/>
          <w:szCs w:val="24"/>
          <w:lang w:val="es-CO" w:eastAsia="es-ES"/>
        </w:rPr>
        <w:t> </w:t>
      </w:r>
    </w:p>
    <w:p w14:paraId="16732596" w14:textId="77777777" w:rsidR="00CB64D0" w:rsidRPr="00CB64D0" w:rsidRDefault="00CB64D0" w:rsidP="00CB64D0">
      <w:pPr>
        <w:spacing w:line="240" w:lineRule="auto"/>
        <w:rPr>
          <w:rFonts w:eastAsia="Times New Roman" w:cs="Times New Roman"/>
          <w:szCs w:val="24"/>
          <w:lang w:val="es-CO" w:eastAsia="es-ES"/>
        </w:rPr>
      </w:pPr>
      <w:r w:rsidRPr="00CB64D0">
        <w:rPr>
          <w:rFonts w:eastAsia="Times New Roman" w:cs="Times New Roman"/>
          <w:szCs w:val="24"/>
          <w:lang w:val="es-CO" w:eastAsia="es-ES"/>
        </w:rPr>
        <w:t>Teniendo en cuenta las anteriores consideraciones, para efectos de determinar las implicaciones en materia del impuesto sobre la renta a título de dividendos, la peticionaria debe tener en cuenta la fecha en la cual las utilidades fueron generadas y decretadas con el fin de establecer el tratamiento aplicable.</w:t>
      </w:r>
    </w:p>
    <w:p w14:paraId="5A75B9F1" w14:textId="77777777" w:rsidR="00CB64D0" w:rsidRPr="00CB64D0" w:rsidRDefault="00CB64D0" w:rsidP="00CB64D0">
      <w:pPr>
        <w:spacing w:line="240" w:lineRule="auto"/>
        <w:rPr>
          <w:rFonts w:eastAsia="Times New Roman" w:cs="Times New Roman"/>
          <w:szCs w:val="24"/>
          <w:lang w:val="es-CO" w:eastAsia="es-ES"/>
        </w:rPr>
      </w:pPr>
      <w:r w:rsidRPr="00CB64D0">
        <w:rPr>
          <w:rFonts w:eastAsia="Times New Roman" w:cs="Times New Roman"/>
          <w:szCs w:val="24"/>
          <w:lang w:val="es-CO" w:eastAsia="es-ES"/>
        </w:rPr>
        <w:t> </w:t>
      </w:r>
    </w:p>
    <w:p w14:paraId="716B4193" w14:textId="77777777" w:rsidR="00CB64D0" w:rsidRPr="00CB64D0" w:rsidRDefault="00CB64D0" w:rsidP="00CB64D0">
      <w:pPr>
        <w:spacing w:line="240" w:lineRule="auto"/>
        <w:rPr>
          <w:rFonts w:eastAsia="Times New Roman" w:cs="Times New Roman"/>
          <w:szCs w:val="24"/>
          <w:lang w:val="es-CO" w:eastAsia="es-ES"/>
        </w:rPr>
      </w:pPr>
      <w:r w:rsidRPr="00CB64D0">
        <w:rPr>
          <w:rFonts w:eastAsia="Times New Roman" w:cs="Times New Roman"/>
          <w:szCs w:val="24"/>
          <w:lang w:val="es-CO" w:eastAsia="es-ES"/>
        </w:rPr>
        <w:t>En todo caso, es importante resaltar que la distribución de utilidades en especie (por ejemplo, mediante la distribución de acciones) se encuentra gravada con el impuesto sobre la renta correspondiente de dividendos. Ahora bien, nótese que el </w:t>
      </w:r>
      <w:hyperlink r:id="rId36" w:tooltip="Estatuto Tributario CETA" w:history="1">
        <w:r w:rsidRPr="00CB64D0">
          <w:rPr>
            <w:rFonts w:eastAsia="Times New Roman" w:cs="Times New Roman"/>
            <w:szCs w:val="24"/>
            <w:lang w:val="es-CO" w:eastAsia="es-ES"/>
          </w:rPr>
          <w:t>artículo 36-3</w:t>
        </w:r>
      </w:hyperlink>
      <w:r w:rsidRPr="00CB64D0">
        <w:rPr>
          <w:rFonts w:eastAsia="Times New Roman" w:cs="Times New Roman"/>
          <w:szCs w:val="24"/>
          <w:lang w:val="es-CO" w:eastAsia="es-ES"/>
        </w:rPr>
        <w:t> establece dos tratamientos diferenciales que constituyen dividendos no gravados, por lo que estarán sometidos al impuesto sobre la renta (y a las correspondientes retenciones) de que tratan los artículos </w:t>
      </w:r>
      <w:hyperlink r:id="rId37" w:tooltip="Estatuto Tributario CETA" w:history="1">
        <w:r w:rsidRPr="00CB64D0">
          <w:rPr>
            <w:rFonts w:eastAsia="Times New Roman" w:cs="Times New Roman"/>
            <w:szCs w:val="24"/>
            <w:lang w:val="es-CO" w:eastAsia="es-ES"/>
          </w:rPr>
          <w:t>242</w:t>
        </w:r>
      </w:hyperlink>
      <w:r w:rsidRPr="00CB64D0">
        <w:rPr>
          <w:rFonts w:eastAsia="Times New Roman" w:cs="Times New Roman"/>
          <w:szCs w:val="24"/>
          <w:lang w:val="es-CO" w:eastAsia="es-ES"/>
        </w:rPr>
        <w:t>, </w:t>
      </w:r>
      <w:hyperlink r:id="rId38" w:tooltip="Estatuto Tributario CETA" w:history="1">
        <w:r w:rsidRPr="00CB64D0">
          <w:rPr>
            <w:rFonts w:eastAsia="Times New Roman" w:cs="Times New Roman"/>
            <w:szCs w:val="24"/>
            <w:lang w:val="es-CO" w:eastAsia="es-ES"/>
          </w:rPr>
          <w:t>242-1</w:t>
        </w:r>
      </w:hyperlink>
      <w:r w:rsidRPr="00CB64D0">
        <w:rPr>
          <w:rFonts w:eastAsia="Times New Roman" w:cs="Times New Roman"/>
          <w:szCs w:val="24"/>
          <w:lang w:val="es-CO" w:eastAsia="es-ES"/>
        </w:rPr>
        <w:t>, </w:t>
      </w:r>
      <w:hyperlink r:id="rId39" w:tooltip="Estatuto Tributario CETA" w:history="1">
        <w:r w:rsidRPr="00CB64D0">
          <w:rPr>
            <w:rFonts w:eastAsia="Times New Roman" w:cs="Times New Roman"/>
            <w:szCs w:val="24"/>
            <w:lang w:val="es-CO" w:eastAsia="es-ES"/>
          </w:rPr>
          <w:t>245</w:t>
        </w:r>
      </w:hyperlink>
      <w:r w:rsidRPr="00CB64D0">
        <w:rPr>
          <w:rFonts w:eastAsia="Times New Roman" w:cs="Times New Roman"/>
          <w:szCs w:val="24"/>
          <w:lang w:val="es-CO" w:eastAsia="es-ES"/>
        </w:rPr>
        <w:t> y </w:t>
      </w:r>
      <w:hyperlink r:id="rId40" w:tooltip="Estatuto Tributario CETA" w:history="1">
        <w:r w:rsidRPr="00CB64D0">
          <w:rPr>
            <w:rFonts w:eastAsia="Times New Roman" w:cs="Times New Roman"/>
            <w:szCs w:val="24"/>
            <w:lang w:val="es-CO" w:eastAsia="es-ES"/>
          </w:rPr>
          <w:t>246 </w:t>
        </w:r>
      </w:hyperlink>
      <w:r w:rsidRPr="00CB64D0">
        <w:rPr>
          <w:rFonts w:eastAsia="Times New Roman" w:cs="Times New Roman"/>
          <w:szCs w:val="24"/>
          <w:lang w:val="es-CO" w:eastAsia="es-ES"/>
        </w:rPr>
        <w:t>del Estatuto Tributario y demás normas concordantes, atendiendo a dicha naturaleza.</w:t>
      </w:r>
    </w:p>
    <w:p w14:paraId="3ABF8D74" w14:textId="77777777" w:rsidR="00CB64D0" w:rsidRPr="00CB64D0" w:rsidRDefault="00CB64D0" w:rsidP="00CB64D0">
      <w:pPr>
        <w:spacing w:line="240" w:lineRule="auto"/>
        <w:rPr>
          <w:rFonts w:eastAsia="Times New Roman" w:cs="Times New Roman"/>
          <w:szCs w:val="24"/>
          <w:lang w:val="es-CO" w:eastAsia="es-ES"/>
        </w:rPr>
      </w:pPr>
      <w:r w:rsidRPr="00CB64D0">
        <w:rPr>
          <w:rFonts w:eastAsia="Times New Roman" w:cs="Times New Roman"/>
          <w:szCs w:val="24"/>
          <w:lang w:val="es-CO" w:eastAsia="es-ES"/>
        </w:rPr>
        <w:t> </w:t>
      </w:r>
    </w:p>
    <w:p w14:paraId="2E80291A" w14:textId="77777777" w:rsidR="00CB64D0" w:rsidRPr="00CB64D0" w:rsidRDefault="00CB64D0" w:rsidP="00CB64D0">
      <w:pPr>
        <w:spacing w:line="240" w:lineRule="auto"/>
        <w:rPr>
          <w:rFonts w:eastAsia="Times New Roman" w:cs="Times New Roman"/>
          <w:szCs w:val="24"/>
          <w:lang w:val="es-CO" w:eastAsia="es-ES"/>
        </w:rPr>
      </w:pPr>
      <w:r w:rsidRPr="00CB64D0">
        <w:rPr>
          <w:rFonts w:eastAsia="Times New Roman" w:cs="Times New Roman"/>
          <w:szCs w:val="24"/>
          <w:lang w:val="es-CO" w:eastAsia="es-ES"/>
        </w:rPr>
        <w:t> </w:t>
      </w:r>
    </w:p>
    <w:p w14:paraId="05B58FC2" w14:textId="77777777" w:rsidR="00CB64D0" w:rsidRPr="00CB64D0" w:rsidRDefault="00CB64D0" w:rsidP="00CB64D0">
      <w:pPr>
        <w:spacing w:line="240" w:lineRule="auto"/>
        <w:rPr>
          <w:rFonts w:eastAsia="Times New Roman" w:cs="Times New Roman"/>
          <w:szCs w:val="24"/>
          <w:lang w:val="es-CO" w:eastAsia="es-ES"/>
        </w:rPr>
      </w:pPr>
      <w:r w:rsidRPr="00CB64D0">
        <w:rPr>
          <w:rFonts w:eastAsia="Times New Roman" w:cs="Times New Roman"/>
          <w:szCs w:val="24"/>
          <w:lang w:val="es-CO" w:eastAsia="es-ES"/>
        </w:rPr>
        <w:t>Atentamente,</w:t>
      </w:r>
    </w:p>
    <w:p w14:paraId="2158B9A1" w14:textId="77777777" w:rsidR="00CB64D0" w:rsidRPr="00CB64D0" w:rsidRDefault="00CB64D0" w:rsidP="00CB64D0">
      <w:pPr>
        <w:spacing w:line="240" w:lineRule="auto"/>
        <w:rPr>
          <w:rFonts w:eastAsia="Times New Roman" w:cs="Times New Roman"/>
          <w:szCs w:val="24"/>
          <w:lang w:val="es-CO" w:eastAsia="es-ES"/>
        </w:rPr>
      </w:pPr>
      <w:r w:rsidRPr="00CB64D0">
        <w:rPr>
          <w:rFonts w:eastAsia="Times New Roman" w:cs="Times New Roman"/>
          <w:szCs w:val="24"/>
          <w:lang w:val="es-CO" w:eastAsia="es-ES"/>
        </w:rPr>
        <w:lastRenderedPageBreak/>
        <w:t> </w:t>
      </w:r>
    </w:p>
    <w:p w14:paraId="63D61926" w14:textId="77777777" w:rsidR="00CB64D0" w:rsidRPr="00CB64D0" w:rsidRDefault="00CB64D0" w:rsidP="00CB64D0">
      <w:pPr>
        <w:spacing w:line="240" w:lineRule="auto"/>
        <w:rPr>
          <w:rFonts w:eastAsia="Times New Roman" w:cs="Times New Roman"/>
          <w:szCs w:val="24"/>
          <w:lang w:val="es-CO" w:eastAsia="es-ES"/>
        </w:rPr>
      </w:pPr>
      <w:r w:rsidRPr="00CB64D0">
        <w:rPr>
          <w:rFonts w:eastAsia="Times New Roman" w:cs="Times New Roman"/>
          <w:szCs w:val="24"/>
          <w:lang w:val="es-CO" w:eastAsia="es-ES"/>
        </w:rPr>
        <w:t> </w:t>
      </w:r>
    </w:p>
    <w:p w14:paraId="278FA178" w14:textId="77777777" w:rsidR="00CB64D0" w:rsidRPr="00CB64D0" w:rsidRDefault="00CB64D0" w:rsidP="00CB64D0">
      <w:pPr>
        <w:spacing w:line="240" w:lineRule="auto"/>
        <w:rPr>
          <w:rFonts w:eastAsia="Times New Roman" w:cs="Times New Roman"/>
          <w:szCs w:val="24"/>
          <w:lang w:val="es-CO" w:eastAsia="es-ES"/>
        </w:rPr>
      </w:pPr>
      <w:r w:rsidRPr="00CB64D0">
        <w:rPr>
          <w:rFonts w:eastAsia="Times New Roman" w:cs="Times New Roman"/>
          <w:b/>
          <w:bCs/>
          <w:szCs w:val="24"/>
          <w:lang w:val="es-CO" w:eastAsia="es-ES"/>
        </w:rPr>
        <w:t>PABLO EMILIO MENDOZA VELILLA</w:t>
      </w:r>
    </w:p>
    <w:p w14:paraId="4C324A31" w14:textId="77777777" w:rsidR="00CB64D0" w:rsidRPr="00CB64D0" w:rsidRDefault="00CB64D0" w:rsidP="00CB64D0">
      <w:pPr>
        <w:spacing w:line="240" w:lineRule="auto"/>
        <w:rPr>
          <w:rFonts w:eastAsia="Times New Roman" w:cs="Times New Roman"/>
          <w:szCs w:val="24"/>
          <w:lang w:val="es-CO" w:eastAsia="es-ES"/>
        </w:rPr>
      </w:pPr>
      <w:r w:rsidRPr="00CB64D0">
        <w:rPr>
          <w:rFonts w:eastAsia="Times New Roman" w:cs="Times New Roman"/>
          <w:szCs w:val="24"/>
          <w:lang w:val="es-CO" w:eastAsia="es-ES"/>
        </w:rPr>
        <w:t>Subdirección de Gestión Normativa y Doctrina</w:t>
      </w:r>
    </w:p>
    <w:p w14:paraId="40550C39" w14:textId="77777777" w:rsidR="00CB64D0" w:rsidRPr="00CB64D0" w:rsidRDefault="00CB64D0" w:rsidP="00CB64D0">
      <w:pPr>
        <w:spacing w:line="240" w:lineRule="auto"/>
        <w:rPr>
          <w:rFonts w:eastAsia="Times New Roman" w:cs="Times New Roman"/>
          <w:szCs w:val="24"/>
          <w:lang w:val="es-CO" w:eastAsia="es-ES"/>
        </w:rPr>
      </w:pPr>
      <w:r w:rsidRPr="00CB64D0">
        <w:rPr>
          <w:rFonts w:eastAsia="Times New Roman" w:cs="Times New Roman"/>
          <w:szCs w:val="24"/>
          <w:lang w:val="es-CO" w:eastAsia="es-ES"/>
        </w:rPr>
        <w:t>Dirección de Gestión Jurídica</w:t>
      </w:r>
    </w:p>
    <w:p w14:paraId="1BF7E2ED" w14:textId="77777777" w:rsidR="007F5CC8" w:rsidRPr="00CB64D0" w:rsidRDefault="007F5CC8">
      <w:pPr>
        <w:rPr>
          <w:rFonts w:cs="Times New Roman"/>
          <w:szCs w:val="24"/>
        </w:rPr>
      </w:pPr>
    </w:p>
    <w:sectPr w:rsidR="007F5CC8" w:rsidRPr="00CB64D0" w:rsidSect="00434AE6">
      <w:type w:val="continuous"/>
      <w:pgSz w:w="12191" w:h="18711"/>
      <w:pgMar w:top="1134" w:right="1134" w:bottom="1134" w:left="1701" w:header="720" w:footer="720" w:gutter="0"/>
      <w:cols w:space="708"/>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08"/>
  <w:hyphenationZone w:val="425"/>
  <w:drawingGridHorizontalSpacing w:val="110"/>
  <w:drawingGridVerticalSpacing w:val="163"/>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64D0"/>
    <w:rsid w:val="001E311E"/>
    <w:rsid w:val="00434AE6"/>
    <w:rsid w:val="007F5CC8"/>
    <w:rsid w:val="008779BE"/>
    <w:rsid w:val="00CB64D0"/>
  </w:rsids>
  <m:mathPr>
    <m:mathFont m:val="Cambria Math"/>
    <m:brkBin m:val="before"/>
    <m:brkBinSub m:val="--"/>
    <m:smallFrac m:val="0"/>
    <m:dispDef/>
    <m:lMargin m:val="0"/>
    <m:rMargin m:val="0"/>
    <m:defJc m:val="centerGroup"/>
    <m:wrapIndent m:val="1440"/>
    <m:intLim m:val="subSup"/>
    <m:naryLim m:val="undOvr"/>
  </m:mathPr>
  <w:themeFontLang w:val="es-CO"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8A00B3"/>
  <w15:chartTrackingRefBased/>
  <w15:docId w15:val="{44B1A9A4-9993-4D9F-AC00-5F773406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es-ES" w:eastAsia="en-US"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56562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eta.org.co/html/vista_de_un_articulo.asp?Norma=313" TargetMode="External"/><Relationship Id="rId13" Type="http://schemas.openxmlformats.org/officeDocument/2006/relationships/hyperlink" Target="https://www.ceta.org.co/html/vista_de_un_articulo.asp?Norma=60" TargetMode="External"/><Relationship Id="rId18" Type="http://schemas.openxmlformats.org/officeDocument/2006/relationships/hyperlink" Target="https://www.ceta.org.co/html/vista_de_un_articulo.asp?Norma=70" TargetMode="External"/><Relationship Id="rId26" Type="http://schemas.openxmlformats.org/officeDocument/2006/relationships/hyperlink" Target="https://www.ceta.org.co/html/vista_de_un_articulo.asp?Norma=191" TargetMode="External"/><Relationship Id="rId39" Type="http://schemas.openxmlformats.org/officeDocument/2006/relationships/hyperlink" Target="https://www.ceta.org.co/html/vista_de_un_articulo.asp?Norma=316" TargetMode="External"/><Relationship Id="rId3" Type="http://schemas.openxmlformats.org/officeDocument/2006/relationships/webSettings" Target="webSettings.xml"/><Relationship Id="rId21" Type="http://schemas.openxmlformats.org/officeDocument/2006/relationships/hyperlink" Target="https://www.ceta.org.co/html/vista_de_un_articulo.asp?Norma=87" TargetMode="External"/><Relationship Id="rId34" Type="http://schemas.openxmlformats.org/officeDocument/2006/relationships/hyperlink" Target="https://www.ceta.org.co/html/vista_de_un_articulo.asp?Norma=70" TargetMode="External"/><Relationship Id="rId42" Type="http://schemas.openxmlformats.org/officeDocument/2006/relationships/theme" Target="theme/theme1.xml"/><Relationship Id="rId7" Type="http://schemas.openxmlformats.org/officeDocument/2006/relationships/hyperlink" Target="https://www.ceta.org.co/html/vista_de_un_articulo.asp?Norma=88" TargetMode="External"/><Relationship Id="rId12" Type="http://schemas.openxmlformats.org/officeDocument/2006/relationships/hyperlink" Target="https://www.ceta.org.co/html/vista_de_un_articulo.asp?Norma=70" TargetMode="External"/><Relationship Id="rId17" Type="http://schemas.openxmlformats.org/officeDocument/2006/relationships/hyperlink" Target="https://www.ceta.org.co/html/vista_de_un_articulo.asp?Norma=313" TargetMode="External"/><Relationship Id="rId25" Type="http://schemas.openxmlformats.org/officeDocument/2006/relationships/hyperlink" Target="https://www.ceta.org.co/html/vista_de_un_articulo.asp?Norma=89" TargetMode="External"/><Relationship Id="rId33" Type="http://schemas.openxmlformats.org/officeDocument/2006/relationships/hyperlink" Target="https://www.ceta.org.co/html/vista_de_un_articulo.asp?Norma=88" TargetMode="External"/><Relationship Id="rId38" Type="http://schemas.openxmlformats.org/officeDocument/2006/relationships/hyperlink" Target="https://www.ceta.org.co/html/vista_de_un_articulo.asp?Norma=60481" TargetMode="External"/><Relationship Id="rId2" Type="http://schemas.openxmlformats.org/officeDocument/2006/relationships/settings" Target="settings.xml"/><Relationship Id="rId16" Type="http://schemas.openxmlformats.org/officeDocument/2006/relationships/hyperlink" Target="https://www.ceta.org.co/html/vista_de_un_articulo.asp?Norma=60481" TargetMode="External"/><Relationship Id="rId20" Type="http://schemas.openxmlformats.org/officeDocument/2006/relationships/hyperlink" Target="https://www.ceta.org.co/html/vista_de_un_articulo.asp?Norma=70" TargetMode="External"/><Relationship Id="rId29" Type="http://schemas.openxmlformats.org/officeDocument/2006/relationships/hyperlink" Target="https://www.ceta.org.co/html/vista_de_un_articulo.asp?Norma=191" TargetMode="External"/><Relationship Id="rId41"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ceta.org.co/html/vista_de_un_articulo.asp?Norma=87" TargetMode="External"/><Relationship Id="rId11" Type="http://schemas.openxmlformats.org/officeDocument/2006/relationships/hyperlink" Target="https://www.ceta.org.co/html/vista_de_un_articulo.asp?Norma=317" TargetMode="External"/><Relationship Id="rId24" Type="http://schemas.openxmlformats.org/officeDocument/2006/relationships/hyperlink" Target="https://www.ceta.org.co/html/vista_de_un_articulo.asp?Norma=191" TargetMode="External"/><Relationship Id="rId32" Type="http://schemas.openxmlformats.org/officeDocument/2006/relationships/hyperlink" Target="https://www.ceta.org.co/html/vista_de_un_articulo.asp?Norma=88" TargetMode="External"/><Relationship Id="rId37" Type="http://schemas.openxmlformats.org/officeDocument/2006/relationships/hyperlink" Target="https://www.ceta.org.co/html/vista_de_un_articulo.asp?Norma=313" TargetMode="External"/><Relationship Id="rId40" Type="http://schemas.openxmlformats.org/officeDocument/2006/relationships/hyperlink" Target="https://www.ceta.org.co/html/vista_de_un_articulo.asp?Norma=317" TargetMode="External"/><Relationship Id="rId5" Type="http://schemas.openxmlformats.org/officeDocument/2006/relationships/hyperlink" Target="https://www.ceta.org.co/html/vista_de_un_articulo.asp?Norma=70" TargetMode="External"/><Relationship Id="rId15" Type="http://schemas.openxmlformats.org/officeDocument/2006/relationships/hyperlink" Target="https://www.ceta.org.co/html/vista_de_un_articulo.asp?Norma=313" TargetMode="External"/><Relationship Id="rId23" Type="http://schemas.openxmlformats.org/officeDocument/2006/relationships/hyperlink" Target="https://www.ceta.org.co/html/vista_de_un_articulo.asp?Norma=70" TargetMode="External"/><Relationship Id="rId28" Type="http://schemas.openxmlformats.org/officeDocument/2006/relationships/hyperlink" Target="https://www.ceta.org.co/html/vista_de_un_articulo.asp?Norma=88" TargetMode="External"/><Relationship Id="rId36" Type="http://schemas.openxmlformats.org/officeDocument/2006/relationships/hyperlink" Target="https://www.ceta.org.co/html/vista_de_un_articulo.asp?Norma=70" TargetMode="External"/><Relationship Id="rId10" Type="http://schemas.openxmlformats.org/officeDocument/2006/relationships/hyperlink" Target="https://www.ceta.org.co/html/vista_de_un_articulo.asp?Norma=316" TargetMode="External"/><Relationship Id="rId19" Type="http://schemas.openxmlformats.org/officeDocument/2006/relationships/hyperlink" Target="https://www.ceta.org.co/html/vista_de_un_articulo.asp?Norma=70" TargetMode="External"/><Relationship Id="rId31" Type="http://schemas.openxmlformats.org/officeDocument/2006/relationships/hyperlink" Target="https://www.ceta.org.co/html/vista_de_un_articulo.asp?Norma=87" TargetMode="External"/><Relationship Id="rId4" Type="http://schemas.openxmlformats.org/officeDocument/2006/relationships/hyperlink" Target="https://www.ceta.org.co/html/vista_de_un_articulo.asp?Norma=60" TargetMode="External"/><Relationship Id="rId9" Type="http://schemas.openxmlformats.org/officeDocument/2006/relationships/hyperlink" Target="https://www.ceta.org.co/html/vista_de_un_articulo.asp?Norma=60481" TargetMode="External"/><Relationship Id="rId14" Type="http://schemas.openxmlformats.org/officeDocument/2006/relationships/hyperlink" Target="https://www.ceta.org.co/html/vista_de_un_articulo.asp?Norma=60" TargetMode="External"/><Relationship Id="rId22" Type="http://schemas.openxmlformats.org/officeDocument/2006/relationships/hyperlink" Target="https://www.ceta.org.co/html/vista_de_un_articulo.asp?Norma=88" TargetMode="External"/><Relationship Id="rId27" Type="http://schemas.openxmlformats.org/officeDocument/2006/relationships/hyperlink" Target="https://www.ceta.org.co/html/vista_de_un_articulo.asp?Norma=87" TargetMode="External"/><Relationship Id="rId30" Type="http://schemas.openxmlformats.org/officeDocument/2006/relationships/hyperlink" Target="https://www.ceta.org.co/html/vista_de_un_articulo.asp?Norma=89" TargetMode="External"/><Relationship Id="rId35" Type="http://schemas.openxmlformats.org/officeDocument/2006/relationships/hyperlink" Target="https://www.ceta.org.co/html/vista_de_un_articulo.asp?Norma=88"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2159</Words>
  <Characters>11878</Characters>
  <Application>Microsoft Office Word</Application>
  <DocSecurity>0</DocSecurity>
  <Lines>98</Lines>
  <Paragraphs>28</Paragraphs>
  <ScaleCrop>false</ScaleCrop>
  <Company/>
  <LinksUpToDate>false</LinksUpToDate>
  <CharactersWithSpaces>14009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CNETCO</dc:creator>
  <cp:keywords/>
  <dc:description/>
  <cp:lastModifiedBy>CNETCO</cp:lastModifiedBy>
  <cp:revision>1</cp:revision>
  <dcterms:created xsi:type="dcterms:W3CDTF">2020-05-28T17:06:00Z</dcterms:created>
  <dcterms:modified xsi:type="dcterms:W3CDTF">2020-05-28T17:08:00Z</dcterms:modified>
</cp:coreProperties>
</file>