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12F" w:rsidRPr="0014412F" w:rsidRDefault="0014412F" w:rsidP="0014412F">
      <w:pPr>
        <w:spacing w:line="240" w:lineRule="auto"/>
        <w:jc w:val="center"/>
        <w:rPr>
          <w:rFonts w:eastAsia="Times New Roman" w:cs="Times New Roman"/>
          <w:szCs w:val="24"/>
          <w:lang w:eastAsia="es-ES"/>
        </w:rPr>
      </w:pPr>
      <w:r w:rsidRPr="0014412F">
        <w:rPr>
          <w:rFonts w:eastAsia="Times New Roman" w:cs="Times New Roman"/>
          <w:b/>
          <w:bCs/>
          <w:szCs w:val="24"/>
          <w:lang w:val="es-CO" w:eastAsia="es-ES"/>
        </w:rPr>
        <w:t xml:space="preserve">OFICIO </w:t>
      </w:r>
      <w:proofErr w:type="spellStart"/>
      <w:r w:rsidRPr="0014412F">
        <w:rPr>
          <w:rFonts w:eastAsia="Times New Roman" w:cs="Times New Roman"/>
          <w:b/>
          <w:bCs/>
          <w:szCs w:val="24"/>
          <w:lang w:val="es-CO" w:eastAsia="es-ES"/>
        </w:rPr>
        <w:t>Nº</w:t>
      </w:r>
      <w:proofErr w:type="spellEnd"/>
      <w:r w:rsidRPr="0014412F">
        <w:rPr>
          <w:rFonts w:eastAsia="Times New Roman" w:cs="Times New Roman"/>
          <w:b/>
          <w:bCs/>
          <w:szCs w:val="24"/>
          <w:lang w:val="es-CO" w:eastAsia="es-ES"/>
        </w:rPr>
        <w:t xml:space="preserve"> 2703 [028948]</w:t>
      </w:r>
    </w:p>
    <w:p w:rsidR="0014412F" w:rsidRPr="0014412F" w:rsidRDefault="0014412F" w:rsidP="0014412F">
      <w:pPr>
        <w:spacing w:line="240" w:lineRule="auto"/>
        <w:jc w:val="center"/>
        <w:rPr>
          <w:rFonts w:eastAsia="Times New Roman" w:cs="Times New Roman"/>
          <w:szCs w:val="24"/>
          <w:lang w:eastAsia="es-ES"/>
        </w:rPr>
      </w:pPr>
      <w:r w:rsidRPr="0014412F">
        <w:rPr>
          <w:rFonts w:eastAsia="Times New Roman" w:cs="Times New Roman"/>
          <w:b/>
          <w:bCs/>
          <w:szCs w:val="24"/>
          <w:lang w:val="es-CO" w:eastAsia="es-ES"/>
        </w:rPr>
        <w:t>21-11-2019</w:t>
      </w:r>
    </w:p>
    <w:p w:rsidR="0014412F" w:rsidRPr="0014412F" w:rsidRDefault="0014412F" w:rsidP="0014412F">
      <w:pPr>
        <w:spacing w:line="240" w:lineRule="auto"/>
        <w:jc w:val="center"/>
        <w:rPr>
          <w:rFonts w:eastAsia="Times New Roman" w:cs="Times New Roman"/>
          <w:szCs w:val="24"/>
          <w:lang w:eastAsia="es-ES"/>
        </w:rPr>
      </w:pPr>
      <w:r w:rsidRPr="0014412F">
        <w:rPr>
          <w:rFonts w:eastAsia="Times New Roman" w:cs="Times New Roman"/>
          <w:b/>
          <w:bCs/>
          <w:szCs w:val="24"/>
          <w:lang w:val="es-CO" w:eastAsia="es-ES"/>
        </w:rPr>
        <w:t>DIAN</w:t>
      </w:r>
      <w:bookmarkStart w:id="0" w:name="_GoBack"/>
      <w:bookmarkEnd w:id="0"/>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Subdirección de Gestión Normativa y Doctrina</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Bogotá, D.C.</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100208221-002703</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proofErr w:type="spellStart"/>
      <w:r w:rsidRPr="0014412F">
        <w:rPr>
          <w:rFonts w:eastAsia="Times New Roman" w:cs="Times New Roman"/>
          <w:b/>
          <w:bCs/>
          <w:szCs w:val="24"/>
          <w:lang w:val="es-CO" w:eastAsia="es-ES"/>
        </w:rPr>
        <w:t>Ref</w:t>
      </w:r>
      <w:proofErr w:type="spellEnd"/>
      <w:r w:rsidRPr="0014412F">
        <w:rPr>
          <w:rFonts w:eastAsia="Times New Roman" w:cs="Times New Roman"/>
          <w:b/>
          <w:bCs/>
          <w:szCs w:val="24"/>
          <w:lang w:val="es-CO" w:eastAsia="es-ES"/>
        </w:rPr>
        <w:t>:</w:t>
      </w:r>
      <w:r w:rsidRPr="0014412F">
        <w:rPr>
          <w:rFonts w:eastAsia="Times New Roman" w:cs="Times New Roman"/>
          <w:szCs w:val="24"/>
          <w:lang w:val="es-CO" w:eastAsia="es-ES"/>
        </w:rPr>
        <w:t> Radicado 100087240 del 11/10/2019</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6015"/>
      </w:tblGrid>
      <w:tr w:rsidR="0014412F" w:rsidRPr="0014412F" w:rsidTr="0014412F">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Retención en la fuente</w:t>
            </w:r>
          </w:p>
        </w:tc>
      </w:tr>
      <w:tr w:rsidR="0014412F" w:rsidRPr="0014412F" w:rsidTr="0014412F">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b/>
                <w:bCs/>
                <w:szCs w:val="24"/>
                <w:lang w:val="es-CO" w:eastAsia="es-ES"/>
              </w:rPr>
              <w:t>Descriptores</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Retención en la Fuente a Título del Impuesto Sobre la Renta</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Retención en la Fuente por Pagos al Exterior</w:t>
            </w:r>
          </w:p>
        </w:tc>
      </w:tr>
      <w:tr w:rsidR="0014412F" w:rsidRPr="0014412F" w:rsidTr="0014412F">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b/>
                <w:bCs/>
                <w:szCs w:val="24"/>
                <w:lang w:val="es-CO" w:eastAsia="es-ES"/>
              </w:rPr>
              <w:t>Fuentes formales</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Artículos </w:t>
            </w:r>
            <w:hyperlink r:id="rId4" w:tooltip="Estatuto Tributario CETA" w:history="1">
              <w:r w:rsidRPr="0014412F">
                <w:rPr>
                  <w:rFonts w:eastAsia="Times New Roman" w:cs="Times New Roman"/>
                  <w:szCs w:val="24"/>
                  <w:lang w:val="es-CO" w:eastAsia="es-ES"/>
                </w:rPr>
                <w:t>36-1</w:t>
              </w:r>
            </w:hyperlink>
            <w:r w:rsidRPr="0014412F">
              <w:rPr>
                <w:rFonts w:eastAsia="Times New Roman" w:cs="Times New Roman"/>
                <w:szCs w:val="24"/>
                <w:lang w:val="es-CO" w:eastAsia="es-ES"/>
              </w:rPr>
              <w:t>, </w:t>
            </w:r>
            <w:hyperlink r:id="rId5" w:tooltip="Estatuto Tributario CETA" w:history="1">
              <w:r w:rsidRPr="0014412F">
                <w:rPr>
                  <w:rFonts w:eastAsia="Times New Roman" w:cs="Times New Roman"/>
                  <w:szCs w:val="24"/>
                  <w:lang w:val="es-CO" w:eastAsia="es-ES"/>
                </w:rPr>
                <w:t>406</w:t>
              </w:r>
            </w:hyperlink>
            <w:r w:rsidRPr="0014412F">
              <w:rPr>
                <w:rFonts w:eastAsia="Times New Roman" w:cs="Times New Roman"/>
                <w:szCs w:val="24"/>
                <w:lang w:val="es-CO" w:eastAsia="es-ES"/>
              </w:rPr>
              <w:t>, </w:t>
            </w:r>
            <w:hyperlink r:id="rId6" w:tooltip="Estatuto Tributario CETA" w:history="1">
              <w:r w:rsidRPr="0014412F">
                <w:rPr>
                  <w:rFonts w:eastAsia="Times New Roman" w:cs="Times New Roman"/>
                  <w:szCs w:val="24"/>
                  <w:lang w:val="es-CO" w:eastAsia="es-ES"/>
                </w:rPr>
                <w:t>415</w:t>
              </w:r>
            </w:hyperlink>
            <w:r w:rsidRPr="0014412F">
              <w:rPr>
                <w:rFonts w:eastAsia="Times New Roman" w:cs="Times New Roman"/>
                <w:szCs w:val="24"/>
                <w:lang w:val="es-CO" w:eastAsia="es-ES"/>
              </w:rPr>
              <w:t> del Estatuto Tributario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Oficio 028595 del 20 de octubre de 2017</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Oficio 006563 del 15 de marzo de 2019</w:t>
            </w:r>
          </w:p>
        </w:tc>
      </w:tr>
    </w:tbl>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De conformidad con el artículo 20 del Decreto número 4048 de 2008 este despacho está facultado para absolver las consultas escritas que se formulen sobre la interpretación y en lo de competencia de la Dirección de Impuestos y Aduanas Nacionales.</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Mediante el radicado de la referencia la peticionaria presenta una serie de inquietudes relacionadas con la base de la retención en la fuente, aplicable a una venta de acciones. En ese sentido sobre el </w:t>
      </w:r>
      <w:hyperlink r:id="rId7" w:tooltip="Estatuto Tributario CETA" w:history="1">
        <w:r w:rsidRPr="0014412F">
          <w:rPr>
            <w:rFonts w:eastAsia="Times New Roman" w:cs="Times New Roman"/>
            <w:szCs w:val="24"/>
            <w:lang w:val="es-CO" w:eastAsia="es-ES"/>
          </w:rPr>
          <w:t>artículo 415</w:t>
        </w:r>
      </w:hyperlink>
      <w:r w:rsidRPr="0014412F">
        <w:rPr>
          <w:rFonts w:eastAsia="Times New Roman" w:cs="Times New Roman"/>
          <w:szCs w:val="24"/>
          <w:lang w:val="es-CO" w:eastAsia="es-ES"/>
        </w:rPr>
        <w:t> del Estatuto Tributario pregunta si es posible tomar como base la ganancia ocasional.</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Sobre el particular se considera:</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De acuerdo con los antecedentes de la consulta y para efectos de resolver el problema jurídico planteado, se parte de la base que se trata de una persona residente fiscal en el exterior, razón por la cual se cita a continuación el </w:t>
      </w:r>
      <w:hyperlink r:id="rId8" w:tooltip="Estatuto Tributario CETA" w:history="1">
        <w:r w:rsidRPr="0014412F">
          <w:rPr>
            <w:rFonts w:eastAsia="Times New Roman" w:cs="Times New Roman"/>
            <w:szCs w:val="24"/>
            <w:lang w:val="es-CO" w:eastAsia="es-ES"/>
          </w:rPr>
          <w:t>artículo 415</w:t>
        </w:r>
      </w:hyperlink>
      <w:r w:rsidRPr="0014412F">
        <w:rPr>
          <w:rFonts w:eastAsia="Times New Roman" w:cs="Times New Roman"/>
          <w:szCs w:val="24"/>
          <w:lang w:val="es-CO" w:eastAsia="es-ES"/>
        </w:rPr>
        <w:t> del Estatuto Tributario, modificado por el artículo 129 de la Ley 1819 de 2016:</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b/>
          <w:bCs/>
          <w:i/>
          <w:iCs/>
          <w:szCs w:val="24"/>
          <w:lang w:val="es-CO" w:eastAsia="es-ES"/>
        </w:rPr>
        <w:t>“</w:t>
      </w:r>
      <w:hyperlink r:id="rId9" w:tooltip="Estatuto Tributario CETA" w:history="1">
        <w:r w:rsidRPr="0014412F">
          <w:rPr>
            <w:rFonts w:eastAsia="Times New Roman" w:cs="Times New Roman"/>
            <w:b/>
            <w:bCs/>
            <w:i/>
            <w:iCs/>
            <w:szCs w:val="24"/>
            <w:lang w:val="es-CO" w:eastAsia="es-ES"/>
          </w:rPr>
          <w:t>Artículo 415</w:t>
        </w:r>
      </w:hyperlink>
      <w:r w:rsidRPr="0014412F">
        <w:rPr>
          <w:rFonts w:eastAsia="Times New Roman" w:cs="Times New Roman"/>
          <w:b/>
          <w:bCs/>
          <w:i/>
          <w:iCs/>
          <w:szCs w:val="24"/>
          <w:lang w:val="es-CO" w:eastAsia="es-ES"/>
        </w:rPr>
        <w:t>. Tarifa de retención para los demás casos. </w:t>
      </w:r>
      <w:r w:rsidRPr="0014412F">
        <w:rPr>
          <w:rFonts w:eastAsia="Times New Roman" w:cs="Times New Roman"/>
          <w:i/>
          <w:iCs/>
          <w:szCs w:val="24"/>
          <w:lang w:val="es-CO" w:eastAsia="es-ES"/>
        </w:rPr>
        <w:t>En los demás casos, relativos a pagos o abonos en cuenta por conceptos no contemplados en los artículos anteriores, diferentes a ganancias ocasionales, </w:t>
      </w:r>
      <w:r w:rsidRPr="0014412F">
        <w:rPr>
          <w:rFonts w:eastAsia="Times New Roman" w:cs="Times New Roman"/>
          <w:b/>
          <w:bCs/>
          <w:i/>
          <w:iCs/>
          <w:szCs w:val="24"/>
          <w:lang w:val="es-CO" w:eastAsia="es-ES"/>
        </w:rPr>
        <w:t>la tarifa será del quince por ciento (15%) sobre el valor bruto del respectivo pago o abono en cuenta.</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En el caso de las ganancias ocasionales, </w:t>
      </w:r>
      <w:r w:rsidRPr="0014412F">
        <w:rPr>
          <w:rFonts w:eastAsia="Times New Roman" w:cs="Times New Roman"/>
          <w:b/>
          <w:bCs/>
          <w:i/>
          <w:iCs/>
          <w:szCs w:val="24"/>
          <w:lang w:val="es-CO" w:eastAsia="es-ES"/>
        </w:rPr>
        <w:t>la retención en la fuente será del 10% sobre el valor bruto del respectivo pago o abono en cuenta.</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b/>
          <w:bCs/>
          <w:i/>
          <w:iCs/>
          <w:szCs w:val="24"/>
          <w:lang w:val="es-CO" w:eastAsia="es-ES"/>
        </w:rPr>
        <w:t>Parágrafo.</w:t>
      </w:r>
      <w:r w:rsidRPr="0014412F">
        <w:rPr>
          <w:rFonts w:eastAsia="Times New Roman" w:cs="Times New Roman"/>
          <w:i/>
          <w:iCs/>
          <w:szCs w:val="24"/>
          <w:lang w:val="es-CO" w:eastAsia="es-ES"/>
        </w:rPr>
        <w:t> La retención en la fuente de que trata el inciso segundo de este artículo no será aplicable para los inversionistas de portafolio, la cual será la establecida en el </w:t>
      </w:r>
      <w:hyperlink r:id="rId10" w:tooltip="Estatuto Tributario CETA" w:history="1">
        <w:r w:rsidRPr="0014412F">
          <w:rPr>
            <w:rFonts w:eastAsia="Times New Roman" w:cs="Times New Roman"/>
            <w:i/>
            <w:iCs/>
            <w:szCs w:val="24"/>
            <w:lang w:val="es-CO" w:eastAsia="es-ES"/>
          </w:rPr>
          <w:t>artículo 18-1</w:t>
        </w:r>
      </w:hyperlink>
      <w:r w:rsidRPr="0014412F">
        <w:rPr>
          <w:rFonts w:eastAsia="Times New Roman" w:cs="Times New Roman"/>
          <w:i/>
          <w:iCs/>
          <w:szCs w:val="24"/>
          <w:lang w:val="es-CO" w:eastAsia="es-ES"/>
        </w:rPr>
        <w:t> de este Estatuto.”</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szCs w:val="24"/>
          <w:lang w:val="es-CO" w:eastAsia="es-ES"/>
        </w:rPr>
        <w:t>(Negrilla fuera del texto)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Sobre el tratamiento del ingreso percibido por la persona natural residente fiscal en el exterior, derivado de la venta de acciones, derechos sociales, títulos valores o participaciones en sociedades, que constituyan activos fijos, el oficio 028595 del 20 de octubre de 2017 (citado en el oficio 006563 del 15 de marzo de 2019) concluyó que lo dispuesto en los artículos </w:t>
      </w:r>
      <w:hyperlink r:id="rId11" w:tooltip="Estatuto Tributario CETA" w:history="1">
        <w:r w:rsidRPr="0014412F">
          <w:rPr>
            <w:rFonts w:eastAsia="Times New Roman" w:cs="Times New Roman"/>
            <w:szCs w:val="24"/>
            <w:lang w:val="es-CO" w:eastAsia="es-ES"/>
          </w:rPr>
          <w:t>18-1</w:t>
        </w:r>
      </w:hyperlink>
      <w:r w:rsidRPr="0014412F">
        <w:rPr>
          <w:rFonts w:eastAsia="Times New Roman" w:cs="Times New Roman"/>
          <w:szCs w:val="24"/>
          <w:lang w:val="es-CO" w:eastAsia="es-ES"/>
        </w:rPr>
        <w:t>, </w:t>
      </w:r>
      <w:hyperlink r:id="rId12" w:tooltip="Estatuto Tributario CETA" w:history="1">
        <w:r w:rsidRPr="0014412F">
          <w:rPr>
            <w:rFonts w:eastAsia="Times New Roman" w:cs="Times New Roman"/>
            <w:szCs w:val="24"/>
            <w:lang w:val="es-CO" w:eastAsia="es-ES"/>
          </w:rPr>
          <w:t>406</w:t>
        </w:r>
      </w:hyperlink>
      <w:r w:rsidRPr="0014412F">
        <w:rPr>
          <w:rFonts w:eastAsia="Times New Roman" w:cs="Times New Roman"/>
          <w:szCs w:val="24"/>
          <w:lang w:val="es-CO" w:eastAsia="es-ES"/>
        </w:rPr>
        <w:t>, </w:t>
      </w:r>
      <w:hyperlink r:id="rId13" w:tooltip="Estatuto Tributario CETA" w:history="1">
        <w:r w:rsidRPr="0014412F">
          <w:rPr>
            <w:rFonts w:eastAsia="Times New Roman" w:cs="Times New Roman"/>
            <w:szCs w:val="24"/>
            <w:lang w:val="es-CO" w:eastAsia="es-ES"/>
          </w:rPr>
          <w:t>415</w:t>
        </w:r>
      </w:hyperlink>
      <w:r w:rsidRPr="0014412F">
        <w:rPr>
          <w:rFonts w:eastAsia="Times New Roman" w:cs="Times New Roman"/>
          <w:szCs w:val="24"/>
          <w:lang w:val="es-CO" w:eastAsia="es-ES"/>
        </w:rPr>
        <w:t> del Estatuto Tributario prevalece sobre lo previsto en los artículos </w:t>
      </w:r>
      <w:hyperlink r:id="rId14" w:tooltip="Estatuto Tributario CETA" w:history="1">
        <w:r w:rsidRPr="0014412F">
          <w:rPr>
            <w:rFonts w:eastAsia="Times New Roman" w:cs="Times New Roman"/>
            <w:szCs w:val="24"/>
            <w:lang w:val="es-CO" w:eastAsia="es-ES"/>
          </w:rPr>
          <w:t>398</w:t>
        </w:r>
      </w:hyperlink>
      <w:r w:rsidRPr="0014412F">
        <w:rPr>
          <w:rFonts w:eastAsia="Times New Roman" w:cs="Times New Roman"/>
          <w:szCs w:val="24"/>
          <w:lang w:val="es-CO" w:eastAsia="es-ES"/>
        </w:rPr>
        <w:t> y </w:t>
      </w:r>
      <w:hyperlink r:id="rId15" w:tooltip="Estatuto Tributario CETA" w:history="1">
        <w:r w:rsidRPr="0014412F">
          <w:rPr>
            <w:rFonts w:eastAsia="Times New Roman" w:cs="Times New Roman"/>
            <w:szCs w:val="24"/>
            <w:lang w:val="es-CO" w:eastAsia="es-ES"/>
          </w:rPr>
          <w:t>401</w:t>
        </w:r>
      </w:hyperlink>
      <w:r w:rsidRPr="0014412F">
        <w:rPr>
          <w:rFonts w:eastAsia="Times New Roman" w:cs="Times New Roman"/>
          <w:szCs w:val="24"/>
          <w:lang w:val="es-CO" w:eastAsia="es-ES"/>
        </w:rPr>
        <w:t xml:space="preserve"> del </w:t>
      </w:r>
      <w:proofErr w:type="spellStart"/>
      <w:r w:rsidRPr="0014412F">
        <w:rPr>
          <w:rFonts w:eastAsia="Times New Roman" w:cs="Times New Roman"/>
          <w:szCs w:val="24"/>
          <w:lang w:val="es-CO" w:eastAsia="es-ES"/>
        </w:rPr>
        <w:t>ibídem</w:t>
      </w:r>
      <w:proofErr w:type="spellEnd"/>
      <w:r w:rsidRPr="0014412F">
        <w:rPr>
          <w:rFonts w:eastAsia="Times New Roman" w:cs="Times New Roman"/>
          <w:szCs w:val="24"/>
          <w:lang w:val="es-CO" w:eastAsia="es-ES"/>
        </w:rPr>
        <w:t xml:space="preserve"> y el artículo 1.2.4.9.1 del D.U.R. 1625 de 2016, pues las primeras disposiciones regulan específicamente el tratamiento en materia de retención en la fuente que debe darse a los pagos al exterior.</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En consecuencia, este ingreso está sometido a una tarifa de retención del 15% o 10%, según se considera renta líquida o ganancia ocasional y de acuerdo con los artículos </w:t>
      </w:r>
      <w:hyperlink r:id="rId16" w:tooltip="Estatuto Tributario CETA" w:history="1">
        <w:r w:rsidRPr="0014412F">
          <w:rPr>
            <w:rFonts w:eastAsia="Times New Roman" w:cs="Times New Roman"/>
            <w:szCs w:val="24"/>
            <w:lang w:val="es-CO" w:eastAsia="es-ES"/>
          </w:rPr>
          <w:t>300</w:t>
        </w:r>
      </w:hyperlink>
      <w:r w:rsidRPr="0014412F">
        <w:rPr>
          <w:rFonts w:eastAsia="Times New Roman" w:cs="Times New Roman"/>
          <w:szCs w:val="24"/>
          <w:lang w:val="es-CO" w:eastAsia="es-ES"/>
        </w:rPr>
        <w:t>, </w:t>
      </w:r>
      <w:hyperlink r:id="rId17" w:tooltip="Estatuto Tributario CETA" w:history="1">
        <w:r w:rsidRPr="0014412F">
          <w:rPr>
            <w:rFonts w:eastAsia="Times New Roman" w:cs="Times New Roman"/>
            <w:szCs w:val="24"/>
            <w:lang w:val="es-CO" w:eastAsia="es-ES"/>
          </w:rPr>
          <w:t>406</w:t>
        </w:r>
      </w:hyperlink>
      <w:r w:rsidRPr="0014412F">
        <w:rPr>
          <w:rFonts w:eastAsia="Times New Roman" w:cs="Times New Roman"/>
          <w:szCs w:val="24"/>
          <w:lang w:val="es-CO" w:eastAsia="es-ES"/>
        </w:rPr>
        <w:t> y </w:t>
      </w:r>
      <w:hyperlink r:id="rId18" w:tooltip="Estatuto Tributario CETA" w:history="1">
        <w:r w:rsidRPr="0014412F">
          <w:rPr>
            <w:rFonts w:eastAsia="Times New Roman" w:cs="Times New Roman"/>
            <w:szCs w:val="24"/>
            <w:lang w:val="es-CO" w:eastAsia="es-ES"/>
          </w:rPr>
          <w:t>415</w:t>
        </w:r>
      </w:hyperlink>
      <w:r w:rsidRPr="0014412F">
        <w:rPr>
          <w:rFonts w:eastAsia="Times New Roman" w:cs="Times New Roman"/>
          <w:szCs w:val="24"/>
          <w:lang w:val="es-CO" w:eastAsia="es-ES"/>
        </w:rPr>
        <w:t xml:space="preserve"> inciso </w:t>
      </w:r>
      <w:r w:rsidRPr="0014412F">
        <w:rPr>
          <w:rFonts w:eastAsia="Times New Roman" w:cs="Times New Roman"/>
          <w:szCs w:val="24"/>
          <w:lang w:val="es-CO" w:eastAsia="es-ES"/>
        </w:rPr>
        <w:lastRenderedPageBreak/>
        <w:t>1º del Estatuto Tributario, sin perjuicio del tratamiento consagrado en los articulas </w:t>
      </w:r>
      <w:hyperlink r:id="rId19" w:tooltip="Estatuto Tributario CETA" w:history="1">
        <w:r w:rsidRPr="0014412F">
          <w:rPr>
            <w:rFonts w:eastAsia="Times New Roman" w:cs="Times New Roman"/>
            <w:szCs w:val="24"/>
            <w:lang w:val="es-CO" w:eastAsia="es-ES"/>
          </w:rPr>
          <w:t>18-1</w:t>
        </w:r>
      </w:hyperlink>
      <w:r w:rsidRPr="0014412F">
        <w:rPr>
          <w:rFonts w:eastAsia="Times New Roman" w:cs="Times New Roman"/>
          <w:szCs w:val="24"/>
          <w:lang w:val="es-CO" w:eastAsia="es-ES"/>
        </w:rPr>
        <w:t> y </w:t>
      </w:r>
      <w:hyperlink r:id="rId20" w:tooltip="Estatuto Tributario CETA" w:history="1">
        <w:r w:rsidRPr="0014412F">
          <w:rPr>
            <w:rFonts w:eastAsia="Times New Roman" w:cs="Times New Roman"/>
            <w:szCs w:val="24"/>
            <w:lang w:val="es-CO" w:eastAsia="es-ES"/>
          </w:rPr>
          <w:t>260-7</w:t>
        </w:r>
      </w:hyperlink>
      <w:r w:rsidRPr="0014412F">
        <w:rPr>
          <w:rFonts w:eastAsia="Times New Roman" w:cs="Times New Roman"/>
          <w:szCs w:val="24"/>
          <w:lang w:val="es-CO" w:eastAsia="es-ES"/>
        </w:rPr>
        <w:t> </w:t>
      </w:r>
      <w:proofErr w:type="spellStart"/>
      <w:r w:rsidRPr="0014412F">
        <w:rPr>
          <w:rFonts w:eastAsia="Times New Roman" w:cs="Times New Roman"/>
          <w:szCs w:val="24"/>
          <w:lang w:val="es-CO" w:eastAsia="es-ES"/>
        </w:rPr>
        <w:t>ibídem</w:t>
      </w:r>
      <w:proofErr w:type="spellEnd"/>
      <w:r w:rsidRPr="0014412F">
        <w:rPr>
          <w:rFonts w:eastAsia="Times New Roman" w:cs="Times New Roman"/>
          <w:szCs w:val="24"/>
          <w:lang w:val="es-CO" w:eastAsia="es-ES"/>
        </w:rPr>
        <w:t>.</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A continuación, se citan los siguientes apartes del mencionado oficio: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De lo antepuesto, observa este Despacho: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ind w:left="567" w:hanging="283"/>
        <w:rPr>
          <w:rFonts w:eastAsia="Times New Roman" w:cs="Times New Roman"/>
          <w:szCs w:val="24"/>
          <w:lang w:eastAsia="es-ES"/>
        </w:rPr>
      </w:pPr>
      <w:r w:rsidRPr="0014412F">
        <w:rPr>
          <w:rFonts w:eastAsia="Times New Roman" w:cs="Times New Roman"/>
          <w:szCs w:val="24"/>
          <w:lang w:val="es-CO" w:eastAsia="es-ES"/>
        </w:rPr>
        <w:t>·      </w:t>
      </w:r>
      <w:r w:rsidRPr="0014412F">
        <w:rPr>
          <w:rFonts w:eastAsia="Times New Roman" w:cs="Times New Roman"/>
          <w:i/>
          <w:iCs/>
          <w:szCs w:val="24"/>
          <w:lang w:val="es-CO" w:eastAsia="es-ES"/>
        </w:rPr>
        <w:t>Que el ingreso percibido por la persona natural residente fiscal en el exterior, derivado de la venta de acciones, derechos sociales, títulos valores o participaciones en sociedades -los cuales constituyen activos fijos- estará sometido a una retención en la fuente equivalente al 15% sobre el valor bruto del respectivo pago o abono en cuenta, si la utilidad en dicha enajenación es considerada renta líquida de acuerdo con los artículos </w:t>
      </w:r>
      <w:hyperlink r:id="rId21" w:tooltip="Estatuto Tributario CETA" w:history="1">
        <w:r w:rsidRPr="0014412F">
          <w:rPr>
            <w:rFonts w:eastAsia="Times New Roman" w:cs="Times New Roman"/>
            <w:i/>
            <w:iCs/>
            <w:szCs w:val="24"/>
            <w:lang w:val="es-CO" w:eastAsia="es-ES"/>
          </w:rPr>
          <w:t>300</w:t>
        </w:r>
      </w:hyperlink>
      <w:r w:rsidRPr="0014412F">
        <w:rPr>
          <w:rFonts w:eastAsia="Times New Roman" w:cs="Times New Roman"/>
          <w:i/>
          <w:iCs/>
          <w:szCs w:val="24"/>
          <w:lang w:val="es-CO" w:eastAsia="es-ES"/>
        </w:rPr>
        <w:t>, </w:t>
      </w:r>
      <w:hyperlink r:id="rId22" w:tooltip="Estatuto Tributario CETA" w:history="1">
        <w:r w:rsidRPr="0014412F">
          <w:rPr>
            <w:rFonts w:eastAsia="Times New Roman" w:cs="Times New Roman"/>
            <w:i/>
            <w:iCs/>
            <w:szCs w:val="24"/>
            <w:lang w:val="es-CO" w:eastAsia="es-ES"/>
          </w:rPr>
          <w:t>406</w:t>
        </w:r>
      </w:hyperlink>
      <w:r w:rsidRPr="0014412F">
        <w:rPr>
          <w:rFonts w:eastAsia="Times New Roman" w:cs="Times New Roman"/>
          <w:i/>
          <w:iCs/>
          <w:szCs w:val="24"/>
          <w:lang w:val="es-CO" w:eastAsia="es-ES"/>
        </w:rPr>
        <w:t> y </w:t>
      </w:r>
      <w:hyperlink r:id="rId23" w:tooltip="Estatuto Tributario CETA" w:history="1">
        <w:r w:rsidRPr="0014412F">
          <w:rPr>
            <w:rFonts w:eastAsia="Times New Roman" w:cs="Times New Roman"/>
            <w:i/>
            <w:iCs/>
            <w:szCs w:val="24"/>
            <w:lang w:val="es-CO" w:eastAsia="es-ES"/>
          </w:rPr>
          <w:t>415</w:t>
        </w:r>
      </w:hyperlink>
      <w:r w:rsidRPr="0014412F">
        <w:rPr>
          <w:rFonts w:eastAsia="Times New Roman" w:cs="Times New Roman"/>
          <w:i/>
          <w:iCs/>
          <w:szCs w:val="24"/>
          <w:lang w:val="es-CO" w:eastAsia="es-ES"/>
        </w:rPr>
        <w:t> inciso 1º del Estatuto Tributario.</w:t>
      </w:r>
    </w:p>
    <w:p w:rsidR="0014412F" w:rsidRPr="0014412F" w:rsidRDefault="0014412F" w:rsidP="0014412F">
      <w:pPr>
        <w:spacing w:line="240" w:lineRule="auto"/>
        <w:ind w:left="567" w:hanging="283"/>
        <w:rPr>
          <w:rFonts w:eastAsia="Times New Roman" w:cs="Times New Roman"/>
          <w:szCs w:val="24"/>
          <w:lang w:eastAsia="es-ES"/>
        </w:rPr>
      </w:pPr>
      <w:r w:rsidRPr="0014412F">
        <w:rPr>
          <w:rFonts w:eastAsia="Times New Roman" w:cs="Times New Roman"/>
          <w:szCs w:val="24"/>
          <w:lang w:val="es-CO" w:eastAsia="es-ES"/>
        </w:rPr>
        <w:t>·      </w:t>
      </w:r>
      <w:r w:rsidRPr="0014412F">
        <w:rPr>
          <w:rFonts w:eastAsia="Times New Roman" w:cs="Times New Roman"/>
          <w:i/>
          <w:iCs/>
          <w:szCs w:val="24"/>
          <w:lang w:val="es-CO" w:eastAsia="es-ES"/>
        </w:rPr>
        <w:t>Que el ingreso percibido por la persona natural residente fiscal en el exterior, derivado de la misma venta en comento, estará sometido a una retención en la fuente equivalente al 10% sobre el valor bruto del respectivo pago o abono en cuenta, si la utilidad en dicha enajenación es considerada ganancia ocasional de acuerdo con los artículos </w:t>
      </w:r>
      <w:hyperlink r:id="rId24" w:tooltip="Estatuto Tributario CETA" w:history="1">
        <w:r w:rsidRPr="0014412F">
          <w:rPr>
            <w:rFonts w:eastAsia="Times New Roman" w:cs="Times New Roman"/>
            <w:i/>
            <w:iCs/>
            <w:szCs w:val="24"/>
            <w:lang w:val="es-CO" w:eastAsia="es-ES"/>
          </w:rPr>
          <w:t>300</w:t>
        </w:r>
      </w:hyperlink>
      <w:r w:rsidRPr="0014412F">
        <w:rPr>
          <w:rFonts w:eastAsia="Times New Roman" w:cs="Times New Roman"/>
          <w:i/>
          <w:iCs/>
          <w:szCs w:val="24"/>
          <w:lang w:val="es-CO" w:eastAsia="es-ES"/>
        </w:rPr>
        <w:t>, </w:t>
      </w:r>
      <w:hyperlink r:id="rId25" w:tooltip="Estatuto Tributario CETA" w:history="1">
        <w:r w:rsidRPr="0014412F">
          <w:rPr>
            <w:rFonts w:eastAsia="Times New Roman" w:cs="Times New Roman"/>
            <w:i/>
            <w:iCs/>
            <w:szCs w:val="24"/>
            <w:lang w:val="es-CO" w:eastAsia="es-ES"/>
          </w:rPr>
          <w:t>406</w:t>
        </w:r>
      </w:hyperlink>
      <w:r w:rsidRPr="0014412F">
        <w:rPr>
          <w:rFonts w:eastAsia="Times New Roman" w:cs="Times New Roman"/>
          <w:i/>
          <w:iCs/>
          <w:szCs w:val="24"/>
          <w:lang w:val="es-CO" w:eastAsia="es-ES"/>
        </w:rPr>
        <w:t> y </w:t>
      </w:r>
      <w:hyperlink r:id="rId26" w:tooltip="Estatuto Tributario CETA" w:history="1">
        <w:r w:rsidRPr="0014412F">
          <w:rPr>
            <w:rFonts w:eastAsia="Times New Roman" w:cs="Times New Roman"/>
            <w:i/>
            <w:iCs/>
            <w:szCs w:val="24"/>
            <w:lang w:val="es-CO" w:eastAsia="es-ES"/>
          </w:rPr>
          <w:t>415</w:t>
        </w:r>
      </w:hyperlink>
      <w:r w:rsidRPr="0014412F">
        <w:rPr>
          <w:rFonts w:eastAsia="Times New Roman" w:cs="Times New Roman"/>
          <w:i/>
          <w:iCs/>
          <w:szCs w:val="24"/>
          <w:lang w:val="es-CO" w:eastAsia="es-ES"/>
        </w:rPr>
        <w:t xml:space="preserve"> inciso 2º </w:t>
      </w:r>
      <w:proofErr w:type="spellStart"/>
      <w:r w:rsidRPr="0014412F">
        <w:rPr>
          <w:rFonts w:eastAsia="Times New Roman" w:cs="Times New Roman"/>
          <w:i/>
          <w:iCs/>
          <w:szCs w:val="24"/>
          <w:lang w:val="es-CO" w:eastAsia="es-ES"/>
        </w:rPr>
        <w:t>ibídem</w:t>
      </w:r>
      <w:proofErr w:type="spellEnd"/>
      <w:r w:rsidRPr="0014412F">
        <w:rPr>
          <w:rFonts w:eastAsia="Times New Roman" w:cs="Times New Roman"/>
          <w:i/>
          <w:iCs/>
          <w:szCs w:val="24"/>
          <w:lang w:val="es-CO" w:eastAsia="es-ES"/>
        </w:rPr>
        <w:t>.</w:t>
      </w:r>
    </w:p>
    <w:p w:rsidR="0014412F" w:rsidRPr="0014412F" w:rsidRDefault="0014412F" w:rsidP="0014412F">
      <w:pPr>
        <w:spacing w:line="240" w:lineRule="auto"/>
        <w:ind w:left="567" w:hanging="283"/>
        <w:rPr>
          <w:rFonts w:eastAsia="Times New Roman" w:cs="Times New Roman"/>
          <w:szCs w:val="24"/>
          <w:lang w:eastAsia="es-ES"/>
        </w:rPr>
      </w:pPr>
      <w:r w:rsidRPr="0014412F">
        <w:rPr>
          <w:rFonts w:eastAsia="Times New Roman" w:cs="Times New Roman"/>
          <w:szCs w:val="24"/>
          <w:lang w:val="es-CO" w:eastAsia="es-ES"/>
        </w:rPr>
        <w:t>·      </w:t>
      </w:r>
      <w:r w:rsidRPr="0014412F">
        <w:rPr>
          <w:rFonts w:eastAsia="Times New Roman" w:cs="Times New Roman"/>
          <w:i/>
          <w:iCs/>
          <w:szCs w:val="24"/>
          <w:lang w:val="es-CO" w:eastAsia="es-ES"/>
        </w:rPr>
        <w:t>Que el ingreso percibido por la persona natural residente fiscal en el exterior, derivado de la misma venta en comento, estará sometido a una retención en la fuente equivalente al 14% sobre el valor neto resultante del pago girado, sí aquella es inversionista de portafolio y no se encuentra domiciliada en una jurisdicción no cooperante, de baja o nula imposición o con regímenes tributarios preferenciales (</w:t>
      </w:r>
      <w:hyperlink r:id="rId27" w:tooltip="Estatuto Tributario CETA" w:history="1">
        <w:r w:rsidRPr="0014412F">
          <w:rPr>
            <w:rFonts w:eastAsia="Times New Roman" w:cs="Times New Roman"/>
            <w:i/>
            <w:iCs/>
            <w:szCs w:val="24"/>
            <w:lang w:val="es-CO" w:eastAsia="es-ES"/>
          </w:rPr>
          <w:t>artículo 260-7</w:t>
        </w:r>
      </w:hyperlink>
      <w:r w:rsidRPr="0014412F">
        <w:rPr>
          <w:rFonts w:eastAsia="Times New Roman" w:cs="Times New Roman"/>
          <w:i/>
          <w:iCs/>
          <w:szCs w:val="24"/>
          <w:lang w:val="es-CO" w:eastAsia="es-ES"/>
        </w:rPr>
        <w:t> del Estatuto Tributario), de acuerdo con el </w:t>
      </w:r>
      <w:hyperlink r:id="rId28" w:tooltip="Estatuto Tributario CETA" w:history="1">
        <w:r w:rsidRPr="0014412F">
          <w:rPr>
            <w:rFonts w:eastAsia="Times New Roman" w:cs="Times New Roman"/>
            <w:i/>
            <w:iCs/>
            <w:szCs w:val="24"/>
            <w:lang w:val="es-CO" w:eastAsia="es-ES"/>
          </w:rPr>
          <w:t>artículo 18-1</w:t>
        </w:r>
      </w:hyperlink>
      <w:r w:rsidRPr="0014412F">
        <w:rPr>
          <w:rFonts w:eastAsia="Times New Roman" w:cs="Times New Roman"/>
          <w:i/>
          <w:iCs/>
          <w:szCs w:val="24"/>
          <w:lang w:val="es-CO" w:eastAsia="es-ES"/>
        </w:rPr>
        <w:t> </w:t>
      </w:r>
      <w:proofErr w:type="spellStart"/>
      <w:r w:rsidRPr="0014412F">
        <w:rPr>
          <w:rFonts w:eastAsia="Times New Roman" w:cs="Times New Roman"/>
          <w:i/>
          <w:iCs/>
          <w:szCs w:val="24"/>
          <w:lang w:val="es-CO" w:eastAsia="es-ES"/>
        </w:rPr>
        <w:t>ibídem</w:t>
      </w:r>
      <w:proofErr w:type="spellEnd"/>
      <w:r w:rsidRPr="0014412F">
        <w:rPr>
          <w:rFonts w:eastAsia="Times New Roman" w:cs="Times New Roman"/>
          <w:i/>
          <w:iCs/>
          <w:szCs w:val="24"/>
          <w:lang w:val="es-CO" w:eastAsia="es-ES"/>
        </w:rPr>
        <w:t>.</w:t>
      </w:r>
    </w:p>
    <w:p w:rsidR="0014412F" w:rsidRPr="0014412F" w:rsidRDefault="0014412F" w:rsidP="0014412F">
      <w:pPr>
        <w:spacing w:line="240" w:lineRule="auto"/>
        <w:ind w:left="567" w:hanging="283"/>
        <w:rPr>
          <w:rFonts w:eastAsia="Times New Roman" w:cs="Times New Roman"/>
          <w:szCs w:val="24"/>
          <w:lang w:eastAsia="es-ES"/>
        </w:rPr>
      </w:pPr>
      <w:r w:rsidRPr="0014412F">
        <w:rPr>
          <w:rFonts w:eastAsia="Times New Roman" w:cs="Times New Roman"/>
          <w:szCs w:val="24"/>
          <w:lang w:val="es-CO" w:eastAsia="es-ES"/>
        </w:rPr>
        <w:t>·      </w:t>
      </w:r>
      <w:r w:rsidRPr="0014412F">
        <w:rPr>
          <w:rFonts w:eastAsia="Times New Roman" w:cs="Times New Roman"/>
          <w:i/>
          <w:iCs/>
          <w:szCs w:val="24"/>
          <w:lang w:val="es-CO" w:eastAsia="es-ES"/>
        </w:rPr>
        <w:t>Que el ingreso percibido por la persona natural residente fiscal en el exterior, derivado de la misma venta en comento, estará sometido a una retención en la fuente equivalente al 25% sobre el valor neto resultante del pago girado, si aquella es inversionista de portafolio y se encuentra domiciliada en una jurisdicción no cooperante, de baja o nula imposición o con regímenes tributarios preferenciales (</w:t>
      </w:r>
      <w:hyperlink r:id="rId29" w:tooltip="Estatuto Tributario CETA" w:history="1">
        <w:r w:rsidRPr="0014412F">
          <w:rPr>
            <w:rFonts w:eastAsia="Times New Roman" w:cs="Times New Roman"/>
            <w:i/>
            <w:iCs/>
            <w:szCs w:val="24"/>
            <w:lang w:val="es-CO" w:eastAsia="es-ES"/>
          </w:rPr>
          <w:t>artículo 260-7</w:t>
        </w:r>
      </w:hyperlink>
      <w:r w:rsidRPr="0014412F">
        <w:rPr>
          <w:rFonts w:eastAsia="Times New Roman" w:cs="Times New Roman"/>
          <w:i/>
          <w:iCs/>
          <w:szCs w:val="24"/>
          <w:lang w:val="es-CO" w:eastAsia="es-ES"/>
        </w:rPr>
        <w:t> </w:t>
      </w:r>
      <w:proofErr w:type="spellStart"/>
      <w:r w:rsidRPr="0014412F">
        <w:rPr>
          <w:rFonts w:eastAsia="Times New Roman" w:cs="Times New Roman"/>
          <w:i/>
          <w:iCs/>
          <w:szCs w:val="24"/>
          <w:lang w:val="es-CO" w:eastAsia="es-ES"/>
        </w:rPr>
        <w:t>ibídem</w:t>
      </w:r>
      <w:proofErr w:type="spellEnd"/>
      <w:r w:rsidRPr="0014412F">
        <w:rPr>
          <w:rFonts w:eastAsia="Times New Roman" w:cs="Times New Roman"/>
          <w:i/>
          <w:iCs/>
          <w:szCs w:val="24"/>
          <w:lang w:val="es-CO" w:eastAsia="es-ES"/>
        </w:rPr>
        <w:t>), de acuerdo con el </w:t>
      </w:r>
      <w:hyperlink r:id="rId30" w:tooltip="Estatuto Tributario CETA" w:history="1">
        <w:r w:rsidRPr="0014412F">
          <w:rPr>
            <w:rFonts w:eastAsia="Times New Roman" w:cs="Times New Roman"/>
            <w:i/>
            <w:iCs/>
            <w:szCs w:val="24"/>
            <w:lang w:val="es-CO" w:eastAsia="es-ES"/>
          </w:rPr>
          <w:t>artículo 18-1</w:t>
        </w:r>
      </w:hyperlink>
      <w:r w:rsidRPr="0014412F">
        <w:rPr>
          <w:rFonts w:eastAsia="Times New Roman" w:cs="Times New Roman"/>
          <w:i/>
          <w:iCs/>
          <w:szCs w:val="24"/>
          <w:lang w:val="es-CO" w:eastAsia="es-ES"/>
        </w:rPr>
        <w:t> </w:t>
      </w:r>
      <w:proofErr w:type="spellStart"/>
      <w:r w:rsidRPr="0014412F">
        <w:rPr>
          <w:rFonts w:eastAsia="Times New Roman" w:cs="Times New Roman"/>
          <w:i/>
          <w:iCs/>
          <w:szCs w:val="24"/>
          <w:lang w:val="es-CO" w:eastAsia="es-ES"/>
        </w:rPr>
        <w:t>ibídem</w:t>
      </w:r>
      <w:proofErr w:type="spellEnd"/>
      <w:r w:rsidRPr="0014412F">
        <w:rPr>
          <w:rFonts w:eastAsia="Times New Roman" w:cs="Times New Roman"/>
          <w:i/>
          <w:iCs/>
          <w:szCs w:val="24"/>
          <w:lang w:val="es-CO" w:eastAsia="es-ES"/>
        </w:rPr>
        <w:t>.</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Lo dispuesto en los artículos </w:t>
      </w:r>
      <w:hyperlink r:id="rId31" w:tooltip="Estatuto Tributario CETA" w:history="1">
        <w:r w:rsidRPr="0014412F">
          <w:rPr>
            <w:rFonts w:eastAsia="Times New Roman" w:cs="Times New Roman"/>
            <w:i/>
            <w:iCs/>
            <w:szCs w:val="24"/>
            <w:lang w:val="es-CO" w:eastAsia="es-ES"/>
          </w:rPr>
          <w:t>18-1</w:t>
        </w:r>
      </w:hyperlink>
      <w:r w:rsidRPr="0014412F">
        <w:rPr>
          <w:rFonts w:eastAsia="Times New Roman" w:cs="Times New Roman"/>
          <w:i/>
          <w:iCs/>
          <w:szCs w:val="24"/>
          <w:lang w:val="es-CO" w:eastAsia="es-ES"/>
        </w:rPr>
        <w:t>, </w:t>
      </w:r>
      <w:hyperlink r:id="rId32" w:tooltip="Estatuto Tributario CETA" w:history="1">
        <w:r w:rsidRPr="0014412F">
          <w:rPr>
            <w:rFonts w:eastAsia="Times New Roman" w:cs="Times New Roman"/>
            <w:i/>
            <w:iCs/>
            <w:szCs w:val="24"/>
            <w:lang w:val="es-CO" w:eastAsia="es-ES"/>
          </w:rPr>
          <w:t>406</w:t>
        </w:r>
      </w:hyperlink>
      <w:r w:rsidRPr="0014412F">
        <w:rPr>
          <w:rFonts w:eastAsia="Times New Roman" w:cs="Times New Roman"/>
          <w:i/>
          <w:iCs/>
          <w:szCs w:val="24"/>
          <w:lang w:val="es-CO" w:eastAsia="es-ES"/>
        </w:rPr>
        <w:t>, </w:t>
      </w:r>
      <w:hyperlink r:id="rId33" w:tooltip="Estatuto Tributario CETA" w:history="1">
        <w:r w:rsidRPr="0014412F">
          <w:rPr>
            <w:rFonts w:eastAsia="Times New Roman" w:cs="Times New Roman"/>
            <w:i/>
            <w:iCs/>
            <w:szCs w:val="24"/>
            <w:lang w:val="es-CO" w:eastAsia="es-ES"/>
          </w:rPr>
          <w:t>415</w:t>
        </w:r>
      </w:hyperlink>
      <w:r w:rsidRPr="0014412F">
        <w:rPr>
          <w:rFonts w:eastAsia="Times New Roman" w:cs="Times New Roman"/>
          <w:i/>
          <w:iCs/>
          <w:szCs w:val="24"/>
          <w:lang w:val="es-CO" w:eastAsia="es-ES"/>
        </w:rPr>
        <w:t> del Estatuto Tributario prevalece sobre lo previsto en los artículos </w:t>
      </w:r>
      <w:hyperlink r:id="rId34" w:tooltip="Estatuto Tributario CETA" w:history="1">
        <w:r w:rsidRPr="0014412F">
          <w:rPr>
            <w:rFonts w:eastAsia="Times New Roman" w:cs="Times New Roman"/>
            <w:i/>
            <w:iCs/>
            <w:szCs w:val="24"/>
            <w:lang w:val="es-CO" w:eastAsia="es-ES"/>
          </w:rPr>
          <w:t>398</w:t>
        </w:r>
      </w:hyperlink>
      <w:r w:rsidRPr="0014412F">
        <w:rPr>
          <w:rFonts w:eastAsia="Times New Roman" w:cs="Times New Roman"/>
          <w:i/>
          <w:iCs/>
          <w:szCs w:val="24"/>
          <w:lang w:val="es-CO" w:eastAsia="es-ES"/>
        </w:rPr>
        <w:t> y </w:t>
      </w:r>
      <w:hyperlink r:id="rId35" w:tooltip="Estatuto Tributario CETA" w:history="1">
        <w:r w:rsidRPr="0014412F">
          <w:rPr>
            <w:rFonts w:eastAsia="Times New Roman" w:cs="Times New Roman"/>
            <w:i/>
            <w:iCs/>
            <w:szCs w:val="24"/>
            <w:lang w:val="es-CO" w:eastAsia="es-ES"/>
          </w:rPr>
          <w:t>401</w:t>
        </w:r>
      </w:hyperlink>
      <w:r w:rsidRPr="0014412F">
        <w:rPr>
          <w:rFonts w:eastAsia="Times New Roman" w:cs="Times New Roman"/>
          <w:i/>
          <w:iCs/>
          <w:szCs w:val="24"/>
          <w:lang w:val="es-CO" w:eastAsia="es-ES"/>
        </w:rPr>
        <w:t> del Estatuto Tributario y 1.2.4.9.1 del D.U.R. 1625 de 2016, ya que las primeras disposiciones regulan específicamente el tratamiento en materia de retención en la fuente que debe darse a los pagos al exterior; en el presente asunto, por la venta de activos fijos e inversiones de portafolio.</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ind w:left="284"/>
        <w:rPr>
          <w:rFonts w:eastAsia="Times New Roman" w:cs="Times New Roman"/>
          <w:szCs w:val="24"/>
          <w:lang w:eastAsia="es-ES"/>
        </w:rPr>
      </w:pPr>
      <w:r w:rsidRPr="0014412F">
        <w:rPr>
          <w:rFonts w:eastAsia="Times New Roman" w:cs="Times New Roman"/>
          <w:i/>
          <w:iCs/>
          <w:szCs w:val="24"/>
          <w:lang w:val="es-CO" w:eastAsia="es-ES"/>
        </w:rPr>
        <w:t>Ahora bien, cuando el adquirente de las acciones, derechos sociales, títulos valores o participaciones en sociedades sea una persona natural, ya sea agente de retención o no en los términos del </w:t>
      </w:r>
      <w:hyperlink r:id="rId36" w:tooltip="Estatuto Tributario CETA" w:history="1">
        <w:r w:rsidRPr="0014412F">
          <w:rPr>
            <w:rFonts w:eastAsia="Times New Roman" w:cs="Times New Roman"/>
            <w:i/>
            <w:iCs/>
            <w:szCs w:val="24"/>
            <w:lang w:val="es-CO" w:eastAsia="es-ES"/>
          </w:rPr>
          <w:t>artículo 368-2</w:t>
        </w:r>
      </w:hyperlink>
      <w:r w:rsidRPr="0014412F">
        <w:rPr>
          <w:rFonts w:eastAsia="Times New Roman" w:cs="Times New Roman"/>
          <w:i/>
          <w:iCs/>
          <w:szCs w:val="24"/>
          <w:lang w:val="es-CO" w:eastAsia="es-ES"/>
        </w:rPr>
        <w:t> del Estatuto Tributario, deberá practicar la retención en la fuente en virtud de lo dispuesto en el </w:t>
      </w:r>
      <w:hyperlink r:id="rId37" w:tooltip="Estatuto Tributario CETA" w:history="1">
        <w:r w:rsidRPr="0014412F">
          <w:rPr>
            <w:rFonts w:eastAsia="Times New Roman" w:cs="Times New Roman"/>
            <w:i/>
            <w:iCs/>
            <w:szCs w:val="24"/>
            <w:lang w:val="es-CO" w:eastAsia="es-ES"/>
          </w:rPr>
          <w:t>artículo 406</w:t>
        </w:r>
      </w:hyperlink>
      <w:r w:rsidRPr="0014412F">
        <w:rPr>
          <w:rFonts w:eastAsia="Times New Roman" w:cs="Times New Roman"/>
          <w:i/>
          <w:iCs/>
          <w:szCs w:val="24"/>
          <w:lang w:val="es-CO" w:eastAsia="es-ES"/>
        </w:rPr>
        <w:t> y </w:t>
      </w:r>
      <w:hyperlink r:id="rId38" w:tooltip="Estatuto Tributario CETA" w:history="1">
        <w:r w:rsidRPr="0014412F">
          <w:rPr>
            <w:rFonts w:eastAsia="Times New Roman" w:cs="Times New Roman"/>
            <w:i/>
            <w:iCs/>
            <w:szCs w:val="24"/>
            <w:lang w:val="es-CO" w:eastAsia="es-ES"/>
          </w:rPr>
          <w:t>415</w:t>
        </w:r>
      </w:hyperlink>
      <w:r w:rsidRPr="0014412F">
        <w:rPr>
          <w:rFonts w:eastAsia="Times New Roman" w:cs="Times New Roman"/>
          <w:i/>
          <w:iCs/>
          <w:szCs w:val="24"/>
          <w:lang w:val="es-CO" w:eastAsia="es-ES"/>
        </w:rPr>
        <w:t> </w:t>
      </w:r>
      <w:proofErr w:type="spellStart"/>
      <w:r w:rsidRPr="0014412F">
        <w:rPr>
          <w:rFonts w:eastAsia="Times New Roman" w:cs="Times New Roman"/>
          <w:i/>
          <w:iCs/>
          <w:szCs w:val="24"/>
          <w:lang w:val="es-CO" w:eastAsia="es-ES"/>
        </w:rPr>
        <w:t>ibídem</w:t>
      </w:r>
      <w:proofErr w:type="spellEnd"/>
      <w:r w:rsidRPr="0014412F">
        <w:rPr>
          <w:rFonts w:eastAsia="Times New Roman" w:cs="Times New Roman"/>
          <w:i/>
          <w:iCs/>
          <w:szCs w:val="24"/>
          <w:lang w:val="es-CO" w:eastAsia="es-ES"/>
        </w:rPr>
        <w:t>."</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i/>
          <w:iCs/>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En el oficio 006563 del 15 de marzo de 2019 se hace una precisión importante y es lo relacionado en el caso que se vendan acciones inscritas en bolsa de valores, donde no habrá retención alguna, siempre y cuando el vendedor sea beneficiario efectivo del 10% o menos de las acciones en circulación de la sociedad, durante un mismo año gravable, de acuerdo a lo establecido en el </w:t>
      </w:r>
      <w:hyperlink r:id="rId39" w:tooltip="Estatuto Tributario CETA" w:history="1">
        <w:r w:rsidRPr="0014412F">
          <w:rPr>
            <w:rFonts w:eastAsia="Times New Roman" w:cs="Times New Roman"/>
            <w:szCs w:val="24"/>
            <w:lang w:val="es-CO" w:eastAsia="es-ES"/>
          </w:rPr>
          <w:t>artículo 36-1</w:t>
        </w:r>
      </w:hyperlink>
      <w:r w:rsidRPr="0014412F">
        <w:rPr>
          <w:rFonts w:eastAsia="Times New Roman" w:cs="Times New Roman"/>
          <w:szCs w:val="24"/>
          <w:lang w:val="es-CO" w:eastAsia="es-ES"/>
        </w:rPr>
        <w:t> del Estatuto Tributario.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Así las cosas, para el presente caso se reitera que la retención aplicable dependerá de la naturaleza del ingreso, esto es, renta líquida o ganancia ocasional con tarifas del 15% o 10% respectivamente, según dispone el </w:t>
      </w:r>
      <w:hyperlink r:id="rId40" w:tooltip="Estatuto Tributario CETA" w:history="1">
        <w:r w:rsidRPr="0014412F">
          <w:rPr>
            <w:rFonts w:eastAsia="Times New Roman" w:cs="Times New Roman"/>
            <w:szCs w:val="24"/>
            <w:lang w:val="es-CO" w:eastAsia="es-ES"/>
          </w:rPr>
          <w:t>artículo 415</w:t>
        </w:r>
      </w:hyperlink>
      <w:r w:rsidRPr="0014412F">
        <w:rPr>
          <w:rFonts w:eastAsia="Times New Roman" w:cs="Times New Roman"/>
          <w:szCs w:val="24"/>
          <w:lang w:val="es-CO" w:eastAsia="es-ES"/>
        </w:rPr>
        <w:t> del Estatuto Tributario.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De igual manera, el artículo es claro al establecer que la tarifa se aplica sobre el valor bruto del respectivo pago o abono en cuenta. No obstante lo anterior, por favor tener en cuenta que el </w:t>
      </w:r>
      <w:hyperlink r:id="rId41" w:tooltip="Estatuto Tributario CETA" w:history="1">
        <w:r w:rsidRPr="0014412F">
          <w:rPr>
            <w:rFonts w:eastAsia="Times New Roman" w:cs="Times New Roman"/>
            <w:szCs w:val="24"/>
            <w:lang w:val="es-CO" w:eastAsia="es-ES"/>
          </w:rPr>
          <w:t>artículo 592 </w:t>
        </w:r>
      </w:hyperlink>
      <w:r w:rsidRPr="0014412F">
        <w:rPr>
          <w:rFonts w:eastAsia="Times New Roman" w:cs="Times New Roman"/>
          <w:szCs w:val="24"/>
          <w:lang w:val="es-CO" w:eastAsia="es-ES"/>
        </w:rPr>
        <w:t xml:space="preserve">del Estatuto Tributario establece que solo se exime de responsabilidad de presentar declaración de renta a aquellos no residentes fiscales colombianos a los cuales se les practique la retención en la fuente de los artículo (sic) 408 a 411 del Estatuto Tributario; por ende, el no </w:t>
      </w:r>
      <w:r w:rsidRPr="0014412F">
        <w:rPr>
          <w:rFonts w:eastAsia="Times New Roman" w:cs="Times New Roman"/>
          <w:szCs w:val="24"/>
          <w:lang w:val="es-CO" w:eastAsia="es-ES"/>
        </w:rPr>
        <w:lastRenderedPageBreak/>
        <w:t>residente, al cual se le practicó la retención en la fuente del </w:t>
      </w:r>
      <w:hyperlink r:id="rId42" w:tooltip="Estatuto Tributario CETA" w:history="1">
        <w:r w:rsidRPr="0014412F">
          <w:rPr>
            <w:rFonts w:eastAsia="Times New Roman" w:cs="Times New Roman"/>
            <w:szCs w:val="24"/>
            <w:lang w:val="es-CO" w:eastAsia="es-ES"/>
          </w:rPr>
          <w:t>415</w:t>
        </w:r>
      </w:hyperlink>
      <w:r w:rsidRPr="0014412F">
        <w:rPr>
          <w:rFonts w:eastAsia="Times New Roman" w:cs="Times New Roman"/>
          <w:szCs w:val="24"/>
          <w:lang w:val="es-CO" w:eastAsia="es-ES"/>
        </w:rPr>
        <w:t> del Estatuto Tributario, deberá presentar la declaración y, en ese momento, podrá reportar el saldo a favor, si hay lugar a él, por haberse practicado una retención superior al impuesto a cargo.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Atentamente,</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b/>
          <w:bCs/>
          <w:szCs w:val="24"/>
          <w:lang w:val="es-CO" w:eastAsia="es-ES"/>
        </w:rPr>
        <w:t> </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b/>
          <w:bCs/>
          <w:szCs w:val="24"/>
          <w:lang w:val="es-CO" w:eastAsia="es-ES"/>
        </w:rPr>
        <w:t>LORENZO CASTILLO BARVO</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Subdirector de Gestión Normativa y Doctrina (E)</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Dirección de Gestión Jurídica</w:t>
      </w:r>
    </w:p>
    <w:p w:rsidR="0014412F" w:rsidRPr="0014412F" w:rsidRDefault="0014412F" w:rsidP="0014412F">
      <w:pPr>
        <w:spacing w:line="240" w:lineRule="auto"/>
        <w:rPr>
          <w:rFonts w:eastAsia="Times New Roman" w:cs="Times New Roman"/>
          <w:szCs w:val="24"/>
          <w:lang w:eastAsia="es-ES"/>
        </w:rPr>
      </w:pPr>
      <w:r w:rsidRPr="0014412F">
        <w:rPr>
          <w:rFonts w:eastAsia="Times New Roman" w:cs="Times New Roman"/>
          <w:szCs w:val="24"/>
          <w:lang w:val="es-CO" w:eastAsia="es-ES"/>
        </w:rPr>
        <w:t>UAE-DIAN</w:t>
      </w:r>
    </w:p>
    <w:p w:rsidR="007F5CC8" w:rsidRPr="0014412F" w:rsidRDefault="007F5CC8">
      <w:pPr>
        <w:rPr>
          <w:rFonts w:cs="Times New Roman"/>
          <w:szCs w:val="24"/>
        </w:rPr>
      </w:pPr>
    </w:p>
    <w:sectPr w:rsidR="007F5CC8" w:rsidRPr="0014412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2F"/>
    <w:rsid w:val="0014412F"/>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4FFA-E64D-48FB-9290-BE8BD6E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3" TargetMode="External"/><Relationship Id="rId13" Type="http://schemas.openxmlformats.org/officeDocument/2006/relationships/hyperlink" Target="https://www.ceta.org.co/html/vista_de_un_articulo.asp?Norma=513" TargetMode="External"/><Relationship Id="rId18" Type="http://schemas.openxmlformats.org/officeDocument/2006/relationships/hyperlink" Target="https://www.ceta.org.co/html/vista_de_un_articulo.asp?Norma=513" TargetMode="External"/><Relationship Id="rId26" Type="http://schemas.openxmlformats.org/officeDocument/2006/relationships/hyperlink" Target="https://www.ceta.org.co/html/vista_de_un_articulo.asp?Norma=513" TargetMode="External"/><Relationship Id="rId39" Type="http://schemas.openxmlformats.org/officeDocument/2006/relationships/hyperlink" Target="https://www.ceta.org.co/html/vista_de_un_articulo.asp?Norma=6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77" TargetMode="External"/><Relationship Id="rId34" Type="http://schemas.openxmlformats.org/officeDocument/2006/relationships/hyperlink" Target="https://www.ceta.org.co/html/vista_de_un_articulo.asp?Norma=493" TargetMode="External"/><Relationship Id="rId42" Type="http://schemas.openxmlformats.org/officeDocument/2006/relationships/hyperlink" Target="https://www.ceta.org.co/html/vista_de_un_articulo.asp?Norma=513" TargetMode="External"/><Relationship Id="rId7" Type="http://schemas.openxmlformats.org/officeDocument/2006/relationships/hyperlink" Target="https://www.ceta.org.co/html/vista_de_un_articulo.asp?Norma=513" TargetMode="External"/><Relationship Id="rId12" Type="http://schemas.openxmlformats.org/officeDocument/2006/relationships/hyperlink" Target="https://www.ceta.org.co/html/vista_de_un_articulo.asp?Norma=504" TargetMode="External"/><Relationship Id="rId17" Type="http://schemas.openxmlformats.org/officeDocument/2006/relationships/hyperlink" Target="https://www.ceta.org.co/html/vista_de_un_articulo.asp?Norma=504" TargetMode="External"/><Relationship Id="rId25" Type="http://schemas.openxmlformats.org/officeDocument/2006/relationships/hyperlink" Target="https://www.ceta.org.co/html/vista_de_un_articulo.asp?Norma=504" TargetMode="External"/><Relationship Id="rId33" Type="http://schemas.openxmlformats.org/officeDocument/2006/relationships/hyperlink" Target="https://www.ceta.org.co/html/vista_de_un_articulo.asp?Norma=513" TargetMode="External"/><Relationship Id="rId38" Type="http://schemas.openxmlformats.org/officeDocument/2006/relationships/hyperlink" Target="https://www.ceta.org.co/html/vista_de_un_articulo.asp?Norma=513" TargetMode="External"/><Relationship Id="rId2" Type="http://schemas.openxmlformats.org/officeDocument/2006/relationships/settings" Target="settings.xml"/><Relationship Id="rId16" Type="http://schemas.openxmlformats.org/officeDocument/2006/relationships/hyperlink" Target="https://www.ceta.org.co/html/vista_de_un_articulo.asp?Norma=377" TargetMode="External"/><Relationship Id="rId20" Type="http://schemas.openxmlformats.org/officeDocument/2006/relationships/hyperlink" Target="https://www.ceta.org.co/html/vista_de_un_articulo.asp?Norma=10886" TargetMode="External"/><Relationship Id="rId29" Type="http://schemas.openxmlformats.org/officeDocument/2006/relationships/hyperlink" Target="https://www.ceta.org.co/html/vista_de_un_articulo.asp?Norma=10886" TargetMode="External"/><Relationship Id="rId41" Type="http://schemas.openxmlformats.org/officeDocument/2006/relationships/hyperlink" Target="https://www.ceta.org.co/html/vista_de_un_articulo.asp?Norma=730" TargetMode="External"/><Relationship Id="rId1" Type="http://schemas.openxmlformats.org/officeDocument/2006/relationships/styles" Target="styles.xml"/><Relationship Id="rId6" Type="http://schemas.openxmlformats.org/officeDocument/2006/relationships/hyperlink" Target="https://www.ceta.org.co/html/vista_de_un_articulo.asp?Norma=513" TargetMode="External"/><Relationship Id="rId11" Type="http://schemas.openxmlformats.org/officeDocument/2006/relationships/hyperlink" Target="https://www.ceta.org.co/html/vista_de_un_articulo.asp?Norma=43" TargetMode="External"/><Relationship Id="rId24" Type="http://schemas.openxmlformats.org/officeDocument/2006/relationships/hyperlink" Target="https://www.ceta.org.co/html/vista_de_un_articulo.asp?Norma=377" TargetMode="External"/><Relationship Id="rId32" Type="http://schemas.openxmlformats.org/officeDocument/2006/relationships/hyperlink" Target="https://www.ceta.org.co/html/vista_de_un_articulo.asp?Norma=504" TargetMode="External"/><Relationship Id="rId37" Type="http://schemas.openxmlformats.org/officeDocument/2006/relationships/hyperlink" Target="https://www.ceta.org.co/html/vista_de_un_articulo.asp?Norma=504" TargetMode="External"/><Relationship Id="rId40" Type="http://schemas.openxmlformats.org/officeDocument/2006/relationships/hyperlink" Target="https://www.ceta.org.co/html/vista_de_un_articulo.asp?Norma=513" TargetMode="External"/><Relationship Id="rId5" Type="http://schemas.openxmlformats.org/officeDocument/2006/relationships/hyperlink" Target="https://www.ceta.org.co/html/vista_de_un_articulo.asp?Norma=504" TargetMode="External"/><Relationship Id="rId15" Type="http://schemas.openxmlformats.org/officeDocument/2006/relationships/hyperlink" Target="https://www.ceta.org.co/html/vista_de_un_articulo.asp?Norma=496" TargetMode="External"/><Relationship Id="rId23" Type="http://schemas.openxmlformats.org/officeDocument/2006/relationships/hyperlink" Target="https://www.ceta.org.co/html/vista_de_un_articulo.asp?Norma=513" TargetMode="External"/><Relationship Id="rId28" Type="http://schemas.openxmlformats.org/officeDocument/2006/relationships/hyperlink" Target="https://www.ceta.org.co/html/vista_de_un_articulo.asp?Norma=43" TargetMode="External"/><Relationship Id="rId36" Type="http://schemas.openxmlformats.org/officeDocument/2006/relationships/hyperlink" Target="https://www.ceta.org.co/html/vista_de_un_articulo.asp?Norma=461" TargetMode="External"/><Relationship Id="rId10" Type="http://schemas.openxmlformats.org/officeDocument/2006/relationships/hyperlink" Target="https://www.ceta.org.co/html/vista_de_un_articulo.asp?Norma=43" TargetMode="External"/><Relationship Id="rId19" Type="http://schemas.openxmlformats.org/officeDocument/2006/relationships/hyperlink" Target="https://www.ceta.org.co/html/vista_de_un_articulo.asp?Norma=43" TargetMode="External"/><Relationship Id="rId31" Type="http://schemas.openxmlformats.org/officeDocument/2006/relationships/hyperlink" Target="https://www.ceta.org.co/html/vista_de_un_articulo.asp?Norma=43" TargetMode="External"/><Relationship Id="rId44" Type="http://schemas.openxmlformats.org/officeDocument/2006/relationships/theme" Target="theme/theme1.xml"/><Relationship Id="rId4" Type="http://schemas.openxmlformats.org/officeDocument/2006/relationships/hyperlink" Target="https://www.ceta.org.co/html/vista_de_un_articulo.asp?Norma=68" TargetMode="External"/><Relationship Id="rId9" Type="http://schemas.openxmlformats.org/officeDocument/2006/relationships/hyperlink" Target="https://www.ceta.org.co/html/vista_de_un_articulo.asp?Norma=513" TargetMode="External"/><Relationship Id="rId14" Type="http://schemas.openxmlformats.org/officeDocument/2006/relationships/hyperlink" Target="https://www.ceta.org.co/html/vista_de_un_articulo.asp?Norma=493" TargetMode="External"/><Relationship Id="rId22" Type="http://schemas.openxmlformats.org/officeDocument/2006/relationships/hyperlink" Target="https://www.ceta.org.co/html/vista_de_un_articulo.asp?Norma=504" TargetMode="External"/><Relationship Id="rId27" Type="http://schemas.openxmlformats.org/officeDocument/2006/relationships/hyperlink" Target="https://www.ceta.org.co/html/vista_de_un_articulo.asp?Norma=10886" TargetMode="External"/><Relationship Id="rId30" Type="http://schemas.openxmlformats.org/officeDocument/2006/relationships/hyperlink" Target="https://www.ceta.org.co/html/vista_de_un_articulo.asp?Norma=43" TargetMode="External"/><Relationship Id="rId35" Type="http://schemas.openxmlformats.org/officeDocument/2006/relationships/hyperlink" Target="https://www.ceta.org.co/html/vista_de_un_articulo.asp?Norma=496"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1792</Words>
  <Characters>9856</Characters>
  <Application>Microsoft Office Word</Application>
  <DocSecurity>0</DocSecurity>
  <Lines>82</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2020-02-26T22:59:00Z</dcterms:created>
  <dcterms:modified xsi:type="dcterms:W3CDTF">2020-02-26T23:01:00Z</dcterms:modified>
</cp:coreProperties>
</file>