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11AC5" w14:textId="77777777" w:rsidR="001F61CD" w:rsidRPr="00AF137C" w:rsidRDefault="001F61CD" w:rsidP="0069729F">
      <w:pPr>
        <w:spacing w:after="0" w:line="360" w:lineRule="auto"/>
        <w:jc w:val="center"/>
        <w:rPr>
          <w:rFonts w:ascii="Times New Roman" w:eastAsia="Times New Roman" w:hAnsi="Times New Roman" w:cs="Times New Roman"/>
          <w:sz w:val="24"/>
          <w:szCs w:val="24"/>
          <w:lang w:eastAsia="es-ES"/>
        </w:rPr>
      </w:pPr>
      <w:r w:rsidRPr="00AF137C">
        <w:rPr>
          <w:rFonts w:ascii="Times New Roman" w:eastAsia="Times New Roman" w:hAnsi="Times New Roman" w:cs="Times New Roman"/>
          <w:b/>
          <w:bCs/>
          <w:sz w:val="24"/>
          <w:szCs w:val="24"/>
          <w:lang w:val="es-CO" w:eastAsia="es-ES"/>
        </w:rPr>
        <w:t xml:space="preserve">OFICIO </w:t>
      </w:r>
      <w:proofErr w:type="spellStart"/>
      <w:r w:rsidRPr="00AF137C">
        <w:rPr>
          <w:rFonts w:ascii="Times New Roman" w:eastAsia="Times New Roman" w:hAnsi="Times New Roman" w:cs="Times New Roman"/>
          <w:b/>
          <w:bCs/>
          <w:sz w:val="24"/>
          <w:szCs w:val="24"/>
          <w:lang w:val="es-CO" w:eastAsia="es-ES"/>
        </w:rPr>
        <w:t>Nº</w:t>
      </w:r>
      <w:proofErr w:type="spellEnd"/>
      <w:r w:rsidRPr="00AF137C">
        <w:rPr>
          <w:rFonts w:ascii="Times New Roman" w:eastAsia="Times New Roman" w:hAnsi="Times New Roman" w:cs="Times New Roman"/>
          <w:b/>
          <w:bCs/>
          <w:sz w:val="24"/>
          <w:szCs w:val="24"/>
          <w:lang w:val="es-CO" w:eastAsia="es-ES"/>
        </w:rPr>
        <w:t xml:space="preserve"> 2391 [024716]</w:t>
      </w:r>
    </w:p>
    <w:p w14:paraId="3EBCCD36" w14:textId="77777777" w:rsidR="001F61CD" w:rsidRPr="00AF137C" w:rsidRDefault="001F61CD" w:rsidP="0069729F">
      <w:pPr>
        <w:spacing w:after="0" w:line="360" w:lineRule="auto"/>
        <w:jc w:val="center"/>
        <w:rPr>
          <w:rFonts w:ascii="Times New Roman" w:eastAsia="Times New Roman" w:hAnsi="Times New Roman" w:cs="Times New Roman"/>
          <w:sz w:val="24"/>
          <w:szCs w:val="24"/>
          <w:lang w:eastAsia="es-ES"/>
        </w:rPr>
      </w:pPr>
      <w:r w:rsidRPr="00AF137C">
        <w:rPr>
          <w:rFonts w:ascii="Times New Roman" w:eastAsia="Times New Roman" w:hAnsi="Times New Roman" w:cs="Times New Roman"/>
          <w:b/>
          <w:bCs/>
          <w:sz w:val="24"/>
          <w:szCs w:val="24"/>
          <w:lang w:val="es-CO" w:eastAsia="es-ES"/>
        </w:rPr>
        <w:t>01-10-2019</w:t>
      </w:r>
    </w:p>
    <w:p w14:paraId="6C195BB1" w14:textId="77777777" w:rsidR="001F61CD" w:rsidRPr="00AF137C" w:rsidRDefault="001F61CD" w:rsidP="0069729F">
      <w:pPr>
        <w:spacing w:after="0" w:line="360" w:lineRule="auto"/>
        <w:jc w:val="center"/>
        <w:rPr>
          <w:rFonts w:ascii="Times New Roman" w:eastAsia="Times New Roman" w:hAnsi="Times New Roman" w:cs="Times New Roman"/>
          <w:sz w:val="24"/>
          <w:szCs w:val="24"/>
          <w:lang w:eastAsia="es-ES"/>
        </w:rPr>
      </w:pPr>
      <w:r w:rsidRPr="00AF137C">
        <w:rPr>
          <w:rFonts w:ascii="Times New Roman" w:eastAsia="Times New Roman" w:hAnsi="Times New Roman" w:cs="Times New Roman"/>
          <w:b/>
          <w:bCs/>
          <w:sz w:val="24"/>
          <w:szCs w:val="24"/>
          <w:lang w:val="es-CO" w:eastAsia="es-ES"/>
        </w:rPr>
        <w:t>DIAN</w:t>
      </w:r>
    </w:p>
    <w:p w14:paraId="23DF95A8"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eastAsia="es-ES"/>
        </w:rPr>
        <w:t> </w:t>
      </w:r>
    </w:p>
    <w:p w14:paraId="537D075A"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eastAsia="es-ES"/>
        </w:rPr>
        <w:t> </w:t>
      </w:r>
    </w:p>
    <w:p w14:paraId="7E8FDFCF"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val="es-CO" w:eastAsia="es-ES"/>
        </w:rPr>
        <w:t>Subdirección de Gestión Normativa y Doctrina</w:t>
      </w:r>
    </w:p>
    <w:p w14:paraId="7089F96A"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val="es-CO" w:eastAsia="es-ES"/>
        </w:rPr>
        <w:t>100208221-002391</w:t>
      </w:r>
    </w:p>
    <w:p w14:paraId="78324307"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val="es-CO" w:eastAsia="es-ES"/>
        </w:rPr>
        <w:t>Bogotá, D.C.</w:t>
      </w:r>
    </w:p>
    <w:p w14:paraId="3B42568F"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eastAsia="es-ES"/>
        </w:rPr>
        <w:t> </w:t>
      </w:r>
    </w:p>
    <w:p w14:paraId="7AFF7EE4"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proofErr w:type="spellStart"/>
      <w:r w:rsidRPr="00AF137C">
        <w:rPr>
          <w:rFonts w:ascii="Times New Roman" w:eastAsia="Times New Roman" w:hAnsi="Times New Roman" w:cs="Times New Roman"/>
          <w:b/>
          <w:bCs/>
          <w:sz w:val="24"/>
          <w:szCs w:val="24"/>
          <w:lang w:val="es-CO" w:eastAsia="es-ES"/>
        </w:rPr>
        <w:t>Ref</w:t>
      </w:r>
      <w:proofErr w:type="spellEnd"/>
      <w:r w:rsidRPr="00AF137C">
        <w:rPr>
          <w:rFonts w:ascii="Times New Roman" w:eastAsia="Times New Roman" w:hAnsi="Times New Roman" w:cs="Times New Roman"/>
          <w:b/>
          <w:bCs/>
          <w:sz w:val="24"/>
          <w:szCs w:val="24"/>
          <w:lang w:val="es-CO" w:eastAsia="es-ES"/>
        </w:rPr>
        <w:t>:</w:t>
      </w:r>
      <w:r w:rsidRPr="00AF137C">
        <w:rPr>
          <w:rFonts w:ascii="Times New Roman" w:eastAsia="Times New Roman" w:hAnsi="Times New Roman" w:cs="Times New Roman"/>
          <w:sz w:val="24"/>
          <w:szCs w:val="24"/>
          <w:lang w:val="es-CO" w:eastAsia="es-ES"/>
        </w:rPr>
        <w:t> Radicado 100063890 del 19/08/2019</w:t>
      </w:r>
    </w:p>
    <w:tbl>
      <w:tblPr>
        <w:tblW w:w="8532" w:type="dxa"/>
        <w:tblCellMar>
          <w:left w:w="0" w:type="dxa"/>
          <w:right w:w="0" w:type="dxa"/>
        </w:tblCellMar>
        <w:tblLook w:val="04A0" w:firstRow="1" w:lastRow="0" w:firstColumn="1" w:lastColumn="0" w:noHBand="0" w:noVBand="1"/>
      </w:tblPr>
      <w:tblGrid>
        <w:gridCol w:w="1843"/>
        <w:gridCol w:w="284"/>
        <w:gridCol w:w="283"/>
        <w:gridCol w:w="6122"/>
      </w:tblGrid>
      <w:tr w:rsidR="00AF137C" w:rsidRPr="00AF137C" w14:paraId="1D4FBE1A" w14:textId="77777777" w:rsidTr="001F61CD">
        <w:tc>
          <w:tcPr>
            <w:tcW w:w="1843" w:type="dxa"/>
            <w:tcBorders>
              <w:top w:val="nil"/>
              <w:left w:val="nil"/>
              <w:bottom w:val="nil"/>
              <w:right w:val="nil"/>
            </w:tcBorders>
            <w:shd w:val="clear" w:color="auto" w:fill="auto"/>
            <w:tcMar>
              <w:top w:w="0" w:type="dxa"/>
              <w:left w:w="108" w:type="dxa"/>
              <w:bottom w:w="0" w:type="dxa"/>
              <w:right w:w="108" w:type="dxa"/>
            </w:tcMar>
            <w:hideMark/>
          </w:tcPr>
          <w:p w14:paraId="36B3F3F4"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b/>
                <w:bCs/>
                <w:sz w:val="24"/>
                <w:szCs w:val="24"/>
                <w:lang w:val="es-CO" w:eastAsia="es-ES"/>
              </w:rPr>
              <w:t>Tema</w:t>
            </w:r>
          </w:p>
        </w:tc>
        <w:tc>
          <w:tcPr>
            <w:tcW w:w="284" w:type="dxa"/>
            <w:tcBorders>
              <w:top w:val="nil"/>
              <w:left w:val="nil"/>
              <w:bottom w:val="nil"/>
              <w:right w:val="nil"/>
            </w:tcBorders>
            <w:shd w:val="clear" w:color="auto" w:fill="auto"/>
            <w:tcMar>
              <w:top w:w="0" w:type="dxa"/>
              <w:left w:w="108" w:type="dxa"/>
              <w:bottom w:w="0" w:type="dxa"/>
              <w:right w:w="108" w:type="dxa"/>
            </w:tcMar>
            <w:hideMark/>
          </w:tcPr>
          <w:p w14:paraId="30A2ACAF" w14:textId="77777777" w:rsidR="001F61CD" w:rsidRPr="00AF137C" w:rsidRDefault="001F61CD" w:rsidP="0069729F">
            <w:pPr>
              <w:spacing w:after="0" w:line="360" w:lineRule="auto"/>
              <w:rPr>
                <w:rFonts w:ascii="Times New Roman" w:eastAsia="Times New Roman" w:hAnsi="Times New Roman" w:cs="Times New Roman"/>
                <w:sz w:val="24"/>
                <w:szCs w:val="24"/>
                <w:lang w:eastAsia="es-ES"/>
              </w:rPr>
            </w:pPr>
          </w:p>
        </w:tc>
        <w:tc>
          <w:tcPr>
            <w:tcW w:w="283" w:type="dxa"/>
            <w:tcBorders>
              <w:top w:val="nil"/>
              <w:left w:val="nil"/>
              <w:bottom w:val="nil"/>
              <w:right w:val="nil"/>
            </w:tcBorders>
            <w:shd w:val="clear" w:color="auto" w:fill="auto"/>
            <w:tcMar>
              <w:top w:w="0" w:type="dxa"/>
              <w:left w:w="108" w:type="dxa"/>
              <w:bottom w:w="0" w:type="dxa"/>
              <w:right w:w="108" w:type="dxa"/>
            </w:tcMar>
            <w:hideMark/>
          </w:tcPr>
          <w:p w14:paraId="6BC795A1" w14:textId="77777777" w:rsidR="001F61CD" w:rsidRPr="00AF137C" w:rsidRDefault="001F61CD" w:rsidP="0069729F">
            <w:pPr>
              <w:spacing w:after="0" w:line="360" w:lineRule="auto"/>
              <w:rPr>
                <w:rFonts w:ascii="Times New Roman" w:eastAsia="Times New Roman" w:hAnsi="Times New Roman" w:cs="Times New Roman"/>
                <w:sz w:val="24"/>
                <w:szCs w:val="24"/>
                <w:lang w:eastAsia="es-ES"/>
              </w:rPr>
            </w:pPr>
          </w:p>
        </w:tc>
        <w:tc>
          <w:tcPr>
            <w:tcW w:w="6122" w:type="dxa"/>
            <w:tcBorders>
              <w:top w:val="nil"/>
              <w:left w:val="nil"/>
              <w:bottom w:val="nil"/>
              <w:right w:val="nil"/>
            </w:tcBorders>
            <w:shd w:val="clear" w:color="auto" w:fill="auto"/>
            <w:tcMar>
              <w:top w:w="0" w:type="dxa"/>
              <w:left w:w="108" w:type="dxa"/>
              <w:bottom w:w="0" w:type="dxa"/>
              <w:right w:w="108" w:type="dxa"/>
            </w:tcMar>
            <w:hideMark/>
          </w:tcPr>
          <w:p w14:paraId="62C43C72"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val="es-CO" w:eastAsia="es-ES"/>
              </w:rPr>
              <w:t>Impuesto sobre la Renta y Complementarios</w:t>
            </w:r>
          </w:p>
        </w:tc>
      </w:tr>
      <w:tr w:rsidR="00AF137C" w:rsidRPr="00AF137C" w14:paraId="140BFAA1" w14:textId="77777777" w:rsidTr="001F61CD">
        <w:tc>
          <w:tcPr>
            <w:tcW w:w="1843" w:type="dxa"/>
            <w:tcBorders>
              <w:top w:val="nil"/>
              <w:left w:val="nil"/>
              <w:bottom w:val="nil"/>
              <w:right w:val="nil"/>
            </w:tcBorders>
            <w:shd w:val="clear" w:color="auto" w:fill="auto"/>
            <w:tcMar>
              <w:top w:w="0" w:type="dxa"/>
              <w:left w:w="108" w:type="dxa"/>
              <w:bottom w:w="0" w:type="dxa"/>
              <w:right w:w="108" w:type="dxa"/>
            </w:tcMar>
            <w:hideMark/>
          </w:tcPr>
          <w:p w14:paraId="173CB960"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b/>
                <w:bCs/>
                <w:sz w:val="24"/>
                <w:szCs w:val="24"/>
                <w:lang w:val="es-CO" w:eastAsia="es-ES"/>
              </w:rPr>
              <w:t>Descriptores</w:t>
            </w:r>
          </w:p>
        </w:tc>
        <w:tc>
          <w:tcPr>
            <w:tcW w:w="284" w:type="dxa"/>
            <w:tcBorders>
              <w:top w:val="nil"/>
              <w:left w:val="nil"/>
              <w:bottom w:val="nil"/>
              <w:right w:val="nil"/>
            </w:tcBorders>
            <w:shd w:val="clear" w:color="auto" w:fill="auto"/>
            <w:tcMar>
              <w:top w:w="0" w:type="dxa"/>
              <w:left w:w="108" w:type="dxa"/>
              <w:bottom w:w="0" w:type="dxa"/>
              <w:right w:w="108" w:type="dxa"/>
            </w:tcMar>
            <w:hideMark/>
          </w:tcPr>
          <w:p w14:paraId="0FA047C2" w14:textId="77777777" w:rsidR="001F61CD" w:rsidRPr="00AF137C" w:rsidRDefault="001F61CD" w:rsidP="0069729F">
            <w:pPr>
              <w:spacing w:after="0" w:line="360" w:lineRule="auto"/>
              <w:rPr>
                <w:rFonts w:ascii="Times New Roman" w:eastAsia="Times New Roman" w:hAnsi="Times New Roman" w:cs="Times New Roman"/>
                <w:sz w:val="24"/>
                <w:szCs w:val="24"/>
                <w:lang w:eastAsia="es-ES"/>
              </w:rPr>
            </w:pPr>
          </w:p>
        </w:tc>
        <w:tc>
          <w:tcPr>
            <w:tcW w:w="283" w:type="dxa"/>
            <w:tcBorders>
              <w:top w:val="nil"/>
              <w:left w:val="nil"/>
              <w:bottom w:val="nil"/>
              <w:right w:val="nil"/>
            </w:tcBorders>
            <w:shd w:val="clear" w:color="auto" w:fill="auto"/>
            <w:tcMar>
              <w:top w:w="0" w:type="dxa"/>
              <w:left w:w="108" w:type="dxa"/>
              <w:bottom w:w="0" w:type="dxa"/>
              <w:right w:w="108" w:type="dxa"/>
            </w:tcMar>
            <w:hideMark/>
          </w:tcPr>
          <w:p w14:paraId="12ED9394" w14:textId="77777777" w:rsidR="001F61CD" w:rsidRPr="00AF137C" w:rsidRDefault="001F61CD" w:rsidP="0069729F">
            <w:pPr>
              <w:spacing w:after="0" w:line="360" w:lineRule="auto"/>
              <w:rPr>
                <w:rFonts w:ascii="Times New Roman" w:eastAsia="Times New Roman" w:hAnsi="Times New Roman" w:cs="Times New Roman"/>
                <w:sz w:val="24"/>
                <w:szCs w:val="24"/>
                <w:lang w:eastAsia="es-ES"/>
              </w:rPr>
            </w:pPr>
          </w:p>
        </w:tc>
        <w:tc>
          <w:tcPr>
            <w:tcW w:w="6122" w:type="dxa"/>
            <w:tcBorders>
              <w:top w:val="nil"/>
              <w:left w:val="nil"/>
              <w:bottom w:val="nil"/>
              <w:right w:val="nil"/>
            </w:tcBorders>
            <w:shd w:val="clear" w:color="auto" w:fill="auto"/>
            <w:tcMar>
              <w:top w:w="0" w:type="dxa"/>
              <w:left w:w="108" w:type="dxa"/>
              <w:bottom w:w="0" w:type="dxa"/>
              <w:right w:w="108" w:type="dxa"/>
            </w:tcMar>
            <w:hideMark/>
          </w:tcPr>
          <w:p w14:paraId="3F434DC9" w14:textId="77777777" w:rsidR="001F61CD" w:rsidRPr="00F6615C" w:rsidRDefault="001F61CD" w:rsidP="0069729F">
            <w:pPr>
              <w:spacing w:after="0" w:line="360" w:lineRule="auto"/>
              <w:jc w:val="both"/>
              <w:rPr>
                <w:rFonts w:ascii="Times New Roman" w:eastAsia="Times New Roman" w:hAnsi="Times New Roman" w:cs="Times New Roman"/>
                <w:b/>
                <w:bCs/>
                <w:sz w:val="24"/>
                <w:szCs w:val="24"/>
                <w:lang w:eastAsia="es-ES"/>
              </w:rPr>
            </w:pPr>
            <w:r w:rsidRPr="00F6615C">
              <w:rPr>
                <w:rFonts w:ascii="Times New Roman" w:eastAsia="Times New Roman" w:hAnsi="Times New Roman" w:cs="Times New Roman"/>
                <w:b/>
                <w:bCs/>
                <w:sz w:val="24"/>
                <w:szCs w:val="24"/>
                <w:lang w:val="es-CO" w:eastAsia="es-ES"/>
              </w:rPr>
              <w:t>Devolución automática de saldos a favor</w:t>
            </w:r>
          </w:p>
        </w:tc>
      </w:tr>
      <w:tr w:rsidR="00AF137C" w:rsidRPr="00AF137C" w14:paraId="0D4838CE" w14:textId="77777777" w:rsidTr="001F61CD">
        <w:tc>
          <w:tcPr>
            <w:tcW w:w="1843" w:type="dxa"/>
            <w:tcBorders>
              <w:top w:val="nil"/>
              <w:left w:val="nil"/>
              <w:bottom w:val="nil"/>
              <w:right w:val="nil"/>
            </w:tcBorders>
            <w:shd w:val="clear" w:color="auto" w:fill="auto"/>
            <w:tcMar>
              <w:top w:w="0" w:type="dxa"/>
              <w:left w:w="108" w:type="dxa"/>
              <w:bottom w:w="0" w:type="dxa"/>
              <w:right w:w="108" w:type="dxa"/>
            </w:tcMar>
            <w:hideMark/>
          </w:tcPr>
          <w:p w14:paraId="2A9AA777"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b/>
                <w:bCs/>
                <w:sz w:val="24"/>
                <w:szCs w:val="24"/>
                <w:lang w:val="es-CO" w:eastAsia="es-ES"/>
              </w:rPr>
              <w:t>Fuentes formales</w:t>
            </w:r>
          </w:p>
        </w:tc>
        <w:tc>
          <w:tcPr>
            <w:tcW w:w="284" w:type="dxa"/>
            <w:tcBorders>
              <w:top w:val="nil"/>
              <w:left w:val="nil"/>
              <w:bottom w:val="nil"/>
              <w:right w:val="nil"/>
            </w:tcBorders>
            <w:shd w:val="clear" w:color="auto" w:fill="auto"/>
            <w:tcMar>
              <w:top w:w="0" w:type="dxa"/>
              <w:left w:w="108" w:type="dxa"/>
              <w:bottom w:w="0" w:type="dxa"/>
              <w:right w:w="108" w:type="dxa"/>
            </w:tcMar>
            <w:hideMark/>
          </w:tcPr>
          <w:p w14:paraId="0A1743D2" w14:textId="77777777" w:rsidR="001F61CD" w:rsidRPr="00AF137C" w:rsidRDefault="001F61CD" w:rsidP="0069729F">
            <w:pPr>
              <w:spacing w:after="0" w:line="360" w:lineRule="auto"/>
              <w:rPr>
                <w:rFonts w:ascii="Times New Roman" w:eastAsia="Times New Roman" w:hAnsi="Times New Roman" w:cs="Times New Roman"/>
                <w:sz w:val="24"/>
                <w:szCs w:val="24"/>
                <w:lang w:eastAsia="es-ES"/>
              </w:rPr>
            </w:pPr>
          </w:p>
        </w:tc>
        <w:tc>
          <w:tcPr>
            <w:tcW w:w="283" w:type="dxa"/>
            <w:tcBorders>
              <w:top w:val="nil"/>
              <w:left w:val="nil"/>
              <w:bottom w:val="nil"/>
              <w:right w:val="nil"/>
            </w:tcBorders>
            <w:shd w:val="clear" w:color="auto" w:fill="auto"/>
            <w:tcMar>
              <w:top w:w="0" w:type="dxa"/>
              <w:left w:w="108" w:type="dxa"/>
              <w:bottom w:w="0" w:type="dxa"/>
              <w:right w:w="108" w:type="dxa"/>
            </w:tcMar>
            <w:hideMark/>
          </w:tcPr>
          <w:p w14:paraId="39917C9F" w14:textId="77777777" w:rsidR="001F61CD" w:rsidRPr="00AF137C" w:rsidRDefault="001F61CD" w:rsidP="0069729F">
            <w:pPr>
              <w:spacing w:after="0" w:line="360" w:lineRule="auto"/>
              <w:rPr>
                <w:rFonts w:ascii="Times New Roman" w:eastAsia="Times New Roman" w:hAnsi="Times New Roman" w:cs="Times New Roman"/>
                <w:sz w:val="24"/>
                <w:szCs w:val="24"/>
                <w:lang w:eastAsia="es-ES"/>
              </w:rPr>
            </w:pPr>
          </w:p>
        </w:tc>
        <w:tc>
          <w:tcPr>
            <w:tcW w:w="6122" w:type="dxa"/>
            <w:tcBorders>
              <w:top w:val="nil"/>
              <w:left w:val="nil"/>
              <w:bottom w:val="nil"/>
              <w:right w:val="nil"/>
            </w:tcBorders>
            <w:shd w:val="clear" w:color="auto" w:fill="auto"/>
            <w:tcMar>
              <w:top w:w="0" w:type="dxa"/>
              <w:left w:w="108" w:type="dxa"/>
              <w:bottom w:w="0" w:type="dxa"/>
              <w:right w:w="108" w:type="dxa"/>
            </w:tcMar>
            <w:hideMark/>
          </w:tcPr>
          <w:p w14:paraId="1D66B57B"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val="es-CO" w:eastAsia="es-ES"/>
              </w:rPr>
              <w:t>Artículo 1.6.1.21.14 del Decreto 1625 de 2016</w:t>
            </w:r>
          </w:p>
          <w:p w14:paraId="084D01BC"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val="es-CO" w:eastAsia="es-ES"/>
              </w:rPr>
              <w:t>Requisitos especiales en las solicitudes de devolución y/o compensación</w:t>
            </w:r>
          </w:p>
        </w:tc>
      </w:tr>
    </w:tbl>
    <w:p w14:paraId="26B7F075"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val="es-CO" w:eastAsia="es-ES"/>
        </w:rPr>
        <w:t>Cordial saludo, señora Rivero:</w:t>
      </w:r>
    </w:p>
    <w:p w14:paraId="79908620"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eastAsia="es-ES"/>
        </w:rPr>
        <w:t> </w:t>
      </w:r>
    </w:p>
    <w:p w14:paraId="387680B9"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val="es-CO" w:eastAsia="es-ES"/>
        </w:rPr>
        <w:t>De conformidad con el artículo 20 del Decreto 4048 de 2008, </w:t>
      </w:r>
      <w:r w:rsidRPr="00AF137C">
        <w:rPr>
          <w:rFonts w:ascii="Times New Roman" w:eastAsia="Times New Roman" w:hAnsi="Times New Roman" w:cs="Times New Roman"/>
          <w:i/>
          <w:iCs/>
          <w:sz w:val="24"/>
          <w:szCs w:val="24"/>
          <w:lang w:val="es-CO" w:eastAsia="es-ES"/>
        </w:rPr>
        <w:t>por el cual se modifica la estructura de la Unidad Administrativa Especial Dirección de Impuestos y Aduanas Nacionales</w:t>
      </w:r>
      <w:r w:rsidRPr="00AF137C">
        <w:rPr>
          <w:rFonts w:ascii="Times New Roman" w:eastAsia="Times New Roman" w:hAnsi="Times New Roman" w:cs="Times New Roman"/>
          <w:sz w:val="24"/>
          <w:szCs w:val="24"/>
          <w:lang w:val="es-CO" w:eastAsia="es-ES"/>
        </w:rPr>
        <w:t> es función de esta Subdirección absolver de modo general las consultas escritas que se formulen sobre interpretación y aplicación de las normas tributarias de carácter nacional, aduaneras y cambiarias.</w:t>
      </w:r>
    </w:p>
    <w:p w14:paraId="3534FFDE"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eastAsia="es-ES"/>
        </w:rPr>
        <w:t> </w:t>
      </w:r>
    </w:p>
    <w:p w14:paraId="4D48A623"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val="es-CO" w:eastAsia="es-ES"/>
        </w:rPr>
        <w:t>No es de nuestra competencia emitir conceptos sobre procedimientos específicos o actuaciones particulares concretas que deban adelantar los contribuyentes frente a obligaciones previstas en el Estatuto Tributario.</w:t>
      </w:r>
    </w:p>
    <w:p w14:paraId="771A7948"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eastAsia="es-ES"/>
        </w:rPr>
        <w:t> </w:t>
      </w:r>
    </w:p>
    <w:p w14:paraId="4DABC6ED"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val="es-CO" w:eastAsia="es-ES"/>
        </w:rPr>
        <w:t>A continuación, damos respuesta a la consulta por medio de la cual se pide:</w:t>
      </w:r>
    </w:p>
    <w:p w14:paraId="51FB5108"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eastAsia="es-ES"/>
        </w:rPr>
        <w:t> </w:t>
      </w:r>
    </w:p>
    <w:p w14:paraId="31607F11"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val="es-CO" w:eastAsia="es-ES"/>
        </w:rPr>
        <w:t>1. Aclarar el significado de la expresión ... </w:t>
      </w:r>
      <w:r w:rsidRPr="00AF137C">
        <w:rPr>
          <w:rFonts w:ascii="Times New Roman" w:eastAsia="Times New Roman" w:hAnsi="Times New Roman" w:cs="Times New Roman"/>
          <w:i/>
          <w:iCs/>
          <w:sz w:val="24"/>
          <w:szCs w:val="24"/>
          <w:lang w:val="es-CO" w:eastAsia="es-ES"/>
        </w:rPr>
        <w:t>cuándo a ello hubiere lugar</w:t>
      </w:r>
      <w:r w:rsidRPr="00AF137C">
        <w:rPr>
          <w:rFonts w:ascii="Times New Roman" w:eastAsia="Times New Roman" w:hAnsi="Times New Roman" w:cs="Times New Roman"/>
          <w:sz w:val="24"/>
          <w:szCs w:val="24"/>
          <w:lang w:val="es-CO" w:eastAsia="es-ES"/>
        </w:rPr>
        <w:t>... utilizada en los numerales 1 y 2 del artículo 1.6.1.21.14 del Decreto 1625 de 2016 Único Reglamentario en materia tributaria, referente a los </w:t>
      </w:r>
      <w:r w:rsidRPr="00AF137C">
        <w:rPr>
          <w:rFonts w:ascii="Times New Roman" w:eastAsia="Times New Roman" w:hAnsi="Times New Roman" w:cs="Times New Roman"/>
          <w:i/>
          <w:iCs/>
          <w:sz w:val="24"/>
          <w:szCs w:val="24"/>
          <w:lang w:val="es-CO" w:eastAsia="es-ES"/>
        </w:rPr>
        <w:t xml:space="preserve">Requisitos especiales en las solicitudes de devolución y/o compensación de saldos a favor determinados en las declaraciones del impuesto sobre la renta y </w:t>
      </w:r>
      <w:r w:rsidRPr="00AF137C">
        <w:rPr>
          <w:rFonts w:ascii="Times New Roman" w:eastAsia="Times New Roman" w:hAnsi="Times New Roman" w:cs="Times New Roman"/>
          <w:i/>
          <w:iCs/>
          <w:sz w:val="24"/>
          <w:szCs w:val="24"/>
          <w:lang w:val="es-CO" w:eastAsia="es-ES"/>
        </w:rPr>
        <w:lastRenderedPageBreak/>
        <w:t>complementario,</w:t>
      </w:r>
      <w:r w:rsidRPr="00AF137C">
        <w:rPr>
          <w:rFonts w:ascii="Times New Roman" w:eastAsia="Times New Roman" w:hAnsi="Times New Roman" w:cs="Times New Roman"/>
          <w:sz w:val="24"/>
          <w:szCs w:val="24"/>
          <w:lang w:val="es-CO" w:eastAsia="es-ES"/>
        </w:rPr>
        <w:t> adicionado por el Decreto 1422 de 2019, </w:t>
      </w:r>
      <w:r w:rsidRPr="00AF137C">
        <w:rPr>
          <w:rFonts w:ascii="Times New Roman" w:eastAsia="Times New Roman" w:hAnsi="Times New Roman" w:cs="Times New Roman"/>
          <w:i/>
          <w:iCs/>
          <w:sz w:val="24"/>
          <w:szCs w:val="24"/>
          <w:lang w:val="es-CO" w:eastAsia="es-ES"/>
        </w:rPr>
        <w:t>por el cual se reglamenta el parágrafo 5 del </w:t>
      </w:r>
      <w:hyperlink r:id="rId6" w:tooltip="Estatuto Tributario CETA" w:history="1">
        <w:r w:rsidRPr="00AF137C">
          <w:rPr>
            <w:rFonts w:ascii="Times New Roman" w:eastAsia="Times New Roman" w:hAnsi="Times New Roman" w:cs="Times New Roman"/>
            <w:i/>
            <w:iCs/>
            <w:sz w:val="24"/>
            <w:szCs w:val="24"/>
            <w:lang w:val="es-CO" w:eastAsia="es-ES"/>
          </w:rPr>
          <w:t>artículo 855</w:t>
        </w:r>
      </w:hyperlink>
      <w:r w:rsidRPr="00AF137C">
        <w:rPr>
          <w:rFonts w:ascii="Times New Roman" w:eastAsia="Times New Roman" w:hAnsi="Times New Roman" w:cs="Times New Roman"/>
          <w:i/>
          <w:iCs/>
          <w:sz w:val="24"/>
          <w:szCs w:val="24"/>
          <w:lang w:val="es-CO" w:eastAsia="es-ES"/>
        </w:rPr>
        <w:t> del Estatuto Tributario, se adiciona el capítulo 29 al título 1 parte 6 del libro 1 y el parágrafo 2 al artículo 1.6.1.21.13. del capítulo 21 título 1 parte 6 del libro 1 y se modifica el artículo 1.6.1.21.14. del capítulo 21 título 1 parte 6 del libro 1 del Decreto 1625 de 2016, único Reglamentario en Materia Tributaria.</w:t>
      </w:r>
    </w:p>
    <w:p w14:paraId="5DF77CE0"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eastAsia="es-ES"/>
        </w:rPr>
        <w:t> </w:t>
      </w:r>
    </w:p>
    <w:p w14:paraId="7A7E8513"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val="es-CO" w:eastAsia="es-ES"/>
        </w:rPr>
        <w:t>Al respecto le informamos que como el Decreto 1422 de 2019, por el cual se reglamenta la devolución automática de saldos a favor originados en el impuesto sobre la renta y sobre las ventas y se modifica la disposición sobre la cual se hace la pregunta, establece la obligación de que la certificación sea firmada por revisor fiscal y/o contador público en relación con las devoluciones automáticas por concepto de impuesto sobre la renta y complementarios. Por lo anterior, es necesario acudir a la interpretación sistemática del Estatuto Tributario para determinar en qué casos se requiere,</w:t>
      </w:r>
    </w:p>
    <w:p w14:paraId="62C412BA"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eastAsia="es-ES"/>
        </w:rPr>
        <w:t> </w:t>
      </w:r>
    </w:p>
    <w:p w14:paraId="170F47E8"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val="es-CO" w:eastAsia="es-ES"/>
        </w:rPr>
        <w:t>En tal sentido, el </w:t>
      </w:r>
      <w:hyperlink r:id="rId7" w:tooltip="Estatuto Tributario CETA" w:history="1">
        <w:r w:rsidRPr="00AF137C">
          <w:rPr>
            <w:rFonts w:ascii="Times New Roman" w:eastAsia="Times New Roman" w:hAnsi="Times New Roman" w:cs="Times New Roman"/>
            <w:sz w:val="24"/>
            <w:szCs w:val="24"/>
            <w:lang w:val="es-CO" w:eastAsia="es-ES"/>
          </w:rPr>
          <w:t>artículo 596</w:t>
        </w:r>
      </w:hyperlink>
      <w:r w:rsidRPr="00AF137C">
        <w:rPr>
          <w:rFonts w:ascii="Times New Roman" w:eastAsia="Times New Roman" w:hAnsi="Times New Roman" w:cs="Times New Roman"/>
          <w:sz w:val="24"/>
          <w:szCs w:val="24"/>
          <w:lang w:val="es-CO" w:eastAsia="es-ES"/>
        </w:rPr>
        <w:t> numeral 6 del estatuto tributario establece:</w:t>
      </w:r>
    </w:p>
    <w:p w14:paraId="40465D0F" w14:textId="77777777" w:rsidR="001F61CD" w:rsidRPr="00AF137C" w:rsidRDefault="001F61CD" w:rsidP="0069729F">
      <w:pPr>
        <w:spacing w:after="0" w:line="360" w:lineRule="auto"/>
        <w:ind w:left="284"/>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eastAsia="es-ES"/>
        </w:rPr>
        <w:t> </w:t>
      </w:r>
    </w:p>
    <w:p w14:paraId="666CD0C1" w14:textId="77777777" w:rsidR="001F61CD" w:rsidRPr="00AF137C" w:rsidRDefault="00936037" w:rsidP="0069729F">
      <w:pPr>
        <w:spacing w:after="0" w:line="360" w:lineRule="auto"/>
        <w:ind w:left="284"/>
        <w:jc w:val="both"/>
        <w:rPr>
          <w:rFonts w:ascii="Times New Roman" w:eastAsia="Times New Roman" w:hAnsi="Times New Roman" w:cs="Times New Roman"/>
          <w:sz w:val="24"/>
          <w:szCs w:val="24"/>
          <w:lang w:eastAsia="es-ES"/>
        </w:rPr>
      </w:pPr>
      <w:hyperlink r:id="rId8" w:tooltip="Estatuto Tributario CETA" w:history="1">
        <w:r w:rsidR="001F61CD" w:rsidRPr="00AF137C">
          <w:rPr>
            <w:rFonts w:ascii="Times New Roman" w:eastAsia="Times New Roman" w:hAnsi="Times New Roman" w:cs="Times New Roman"/>
            <w:b/>
            <w:bCs/>
            <w:i/>
            <w:iCs/>
            <w:sz w:val="24"/>
            <w:szCs w:val="24"/>
            <w:lang w:val="es-CO" w:eastAsia="es-ES"/>
          </w:rPr>
          <w:t>ARTÍCULO 596</w:t>
        </w:r>
      </w:hyperlink>
      <w:r w:rsidR="001F61CD" w:rsidRPr="00AF137C">
        <w:rPr>
          <w:rFonts w:ascii="Times New Roman" w:eastAsia="Times New Roman" w:hAnsi="Times New Roman" w:cs="Times New Roman"/>
          <w:b/>
          <w:bCs/>
          <w:i/>
          <w:iCs/>
          <w:sz w:val="24"/>
          <w:szCs w:val="24"/>
          <w:lang w:val="es-CO" w:eastAsia="es-ES"/>
        </w:rPr>
        <w:t> . CONTENIDO DE LA DECLARACIÓN DE RENTA.</w:t>
      </w:r>
      <w:r w:rsidR="001F61CD" w:rsidRPr="00AF137C">
        <w:rPr>
          <w:rFonts w:ascii="Times New Roman" w:eastAsia="Times New Roman" w:hAnsi="Times New Roman" w:cs="Times New Roman"/>
          <w:i/>
          <w:iCs/>
          <w:sz w:val="24"/>
          <w:szCs w:val="24"/>
          <w:lang w:val="es-CO" w:eastAsia="es-ES"/>
        </w:rPr>
        <w:t> La declaración del impuesto sobre la renta y complementarios deberá presentarse en el formulario que para tal efecto señale la Dirección General de Impuestos Nacionales. Esta declaración deberá contener:</w:t>
      </w:r>
    </w:p>
    <w:p w14:paraId="779160D0" w14:textId="77777777" w:rsidR="001F61CD" w:rsidRPr="00AF137C" w:rsidRDefault="001F61CD" w:rsidP="0069729F">
      <w:pPr>
        <w:spacing w:after="0" w:line="360" w:lineRule="auto"/>
        <w:ind w:left="284"/>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eastAsia="es-ES"/>
        </w:rPr>
        <w:t> </w:t>
      </w:r>
    </w:p>
    <w:p w14:paraId="1F3C1090" w14:textId="77777777" w:rsidR="001F61CD" w:rsidRPr="00AF137C" w:rsidRDefault="001F61CD" w:rsidP="0069729F">
      <w:pPr>
        <w:spacing w:after="0" w:line="360" w:lineRule="auto"/>
        <w:ind w:left="284"/>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i/>
          <w:iCs/>
          <w:sz w:val="24"/>
          <w:szCs w:val="24"/>
          <w:lang w:val="es-CO" w:eastAsia="es-ES"/>
        </w:rPr>
        <w:t>(...)</w:t>
      </w:r>
    </w:p>
    <w:p w14:paraId="5E5427AC" w14:textId="77777777" w:rsidR="001F61CD" w:rsidRPr="00AF137C" w:rsidRDefault="001F61CD" w:rsidP="0069729F">
      <w:pPr>
        <w:spacing w:after="0" w:line="360" w:lineRule="auto"/>
        <w:ind w:left="284"/>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eastAsia="es-ES"/>
        </w:rPr>
        <w:t> </w:t>
      </w:r>
    </w:p>
    <w:p w14:paraId="5D82D6A3" w14:textId="77777777" w:rsidR="001F61CD" w:rsidRPr="00AF137C" w:rsidRDefault="001F61CD" w:rsidP="0069729F">
      <w:pPr>
        <w:spacing w:after="0" w:line="360" w:lineRule="auto"/>
        <w:ind w:left="284"/>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val="es-CO" w:eastAsia="es-ES"/>
        </w:rPr>
        <w:t>6</w:t>
      </w:r>
      <w:r w:rsidRPr="00AF137C">
        <w:rPr>
          <w:rFonts w:ascii="Times New Roman" w:eastAsia="Times New Roman" w:hAnsi="Times New Roman" w:cs="Times New Roman"/>
          <w:i/>
          <w:iCs/>
          <w:sz w:val="24"/>
          <w:szCs w:val="24"/>
          <w:lang w:val="es-CO" w:eastAsia="es-ES"/>
        </w:rPr>
        <w:t xml:space="preserve">. La firma del revisor fiscal cuando se trate de contribuyentes obligados a llevar libros de contabilidad y </w:t>
      </w:r>
      <w:proofErr w:type="gramStart"/>
      <w:r w:rsidRPr="00AF137C">
        <w:rPr>
          <w:rFonts w:ascii="Times New Roman" w:eastAsia="Times New Roman" w:hAnsi="Times New Roman" w:cs="Times New Roman"/>
          <w:i/>
          <w:iCs/>
          <w:sz w:val="24"/>
          <w:szCs w:val="24"/>
          <w:lang w:val="es-CO" w:eastAsia="es-ES"/>
        </w:rPr>
        <w:t>que</w:t>
      </w:r>
      <w:proofErr w:type="gramEnd"/>
      <w:r w:rsidRPr="00AF137C">
        <w:rPr>
          <w:rFonts w:ascii="Times New Roman" w:eastAsia="Times New Roman" w:hAnsi="Times New Roman" w:cs="Times New Roman"/>
          <w:i/>
          <w:iCs/>
          <w:sz w:val="24"/>
          <w:szCs w:val="24"/>
          <w:lang w:val="es-CO" w:eastAsia="es-ES"/>
        </w:rPr>
        <w:t xml:space="preserve"> de conformidad con el Código de Comercio y demás normas vigentes sobre la materia, estén obligados a tener Revisor Fiscal.</w:t>
      </w:r>
    </w:p>
    <w:p w14:paraId="7F710D4B" w14:textId="77777777" w:rsidR="001F61CD" w:rsidRPr="00AF137C" w:rsidRDefault="001F61CD" w:rsidP="0069729F">
      <w:pPr>
        <w:spacing w:after="0" w:line="360" w:lineRule="auto"/>
        <w:ind w:left="284"/>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eastAsia="es-ES"/>
        </w:rPr>
        <w:t> </w:t>
      </w:r>
    </w:p>
    <w:p w14:paraId="2F17ED89" w14:textId="77777777" w:rsidR="001F61CD" w:rsidRPr="00AF137C" w:rsidRDefault="001F61CD" w:rsidP="0069729F">
      <w:pPr>
        <w:spacing w:after="0" w:line="360" w:lineRule="auto"/>
        <w:ind w:left="284"/>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i/>
          <w:iCs/>
          <w:sz w:val="24"/>
          <w:szCs w:val="24"/>
          <w:lang w:val="es-CO" w:eastAsia="es-ES"/>
        </w:rPr>
        <w:t>(...) ".</w:t>
      </w:r>
    </w:p>
    <w:p w14:paraId="44005AD7" w14:textId="77777777" w:rsidR="001F61CD" w:rsidRPr="00AF137C" w:rsidRDefault="001F61CD" w:rsidP="0069729F">
      <w:pPr>
        <w:spacing w:after="0" w:line="360" w:lineRule="auto"/>
        <w:ind w:left="284"/>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eastAsia="es-ES"/>
        </w:rPr>
        <w:t> </w:t>
      </w:r>
    </w:p>
    <w:p w14:paraId="5CA9BB2D" w14:textId="77777777" w:rsidR="001F61CD" w:rsidRPr="00AF137C" w:rsidRDefault="001F61CD" w:rsidP="0069729F">
      <w:pPr>
        <w:spacing w:after="0" w:line="360" w:lineRule="auto"/>
        <w:ind w:left="284"/>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i/>
          <w:iCs/>
          <w:sz w:val="24"/>
          <w:szCs w:val="24"/>
          <w:lang w:val="es-CO" w:eastAsia="es-ES"/>
        </w:rPr>
        <w:t xml:space="preserve">Ajuste de las cifras en valores absolutos en términos de UVT por el artículo 51 de la Ley 1111 de 2006 (A partir del año gravable 2007). El texto con el nuevo término es el siguiente: &gt; Los demás contribuyentes y entidades obligadas a llevar libros de contabilidad, deberán presentar la declaración de renta y complementarios o de ingresos y patrimonio, según sea el caso, </w:t>
      </w:r>
      <w:r w:rsidRPr="00AF137C">
        <w:rPr>
          <w:rFonts w:ascii="Times New Roman" w:eastAsia="Times New Roman" w:hAnsi="Times New Roman" w:cs="Times New Roman"/>
          <w:i/>
          <w:iCs/>
          <w:sz w:val="24"/>
          <w:szCs w:val="24"/>
          <w:lang w:val="es-CO" w:eastAsia="es-ES"/>
        </w:rPr>
        <w:lastRenderedPageBreak/>
        <w:t>firmada por contador público, vinculado o no laboralmente a la empresa o entidad, cuando el patrimonio bruto en el último día del año o período gravable, o los ingresos brutos del respectivo año, sean superiores a 100.000 UVT.</w:t>
      </w:r>
    </w:p>
    <w:p w14:paraId="767E9BB7" w14:textId="77777777" w:rsidR="001F61CD" w:rsidRPr="00AF137C" w:rsidRDefault="001F61CD" w:rsidP="0069729F">
      <w:pPr>
        <w:spacing w:after="0" w:line="360" w:lineRule="auto"/>
        <w:ind w:left="284"/>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eastAsia="es-ES"/>
        </w:rPr>
        <w:t> </w:t>
      </w:r>
    </w:p>
    <w:p w14:paraId="7228AAAC" w14:textId="77777777" w:rsidR="001F61CD" w:rsidRPr="00AF137C" w:rsidRDefault="001F61CD" w:rsidP="0069729F">
      <w:pPr>
        <w:spacing w:after="0" w:line="360" w:lineRule="auto"/>
        <w:ind w:left="284"/>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i/>
          <w:iCs/>
          <w:sz w:val="24"/>
          <w:szCs w:val="24"/>
          <w:lang w:val="es-CO" w:eastAsia="es-ES"/>
        </w:rPr>
        <w:t>Cuando se diere aplicación a lo dispuesto en el presente numeral, deberá informarse en la declaración de renta el nombre completo y número de matrícula del contador público o revisor fiscal que firma la declaración.</w:t>
      </w:r>
    </w:p>
    <w:p w14:paraId="1D28779B"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eastAsia="es-ES"/>
        </w:rPr>
        <w:t> </w:t>
      </w:r>
    </w:p>
    <w:p w14:paraId="3481372C"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val="es-CO" w:eastAsia="es-ES"/>
        </w:rPr>
        <w:t>Y, el </w:t>
      </w:r>
      <w:hyperlink r:id="rId9" w:tooltip="Estatuto Tributario CETA" w:history="1">
        <w:r w:rsidRPr="00AF137C">
          <w:rPr>
            <w:rFonts w:ascii="Times New Roman" w:eastAsia="Times New Roman" w:hAnsi="Times New Roman" w:cs="Times New Roman"/>
            <w:sz w:val="24"/>
            <w:szCs w:val="24"/>
            <w:lang w:val="es-CO" w:eastAsia="es-ES"/>
          </w:rPr>
          <w:t>artículo 606</w:t>
        </w:r>
      </w:hyperlink>
      <w:r w:rsidRPr="00AF137C">
        <w:rPr>
          <w:rFonts w:ascii="Times New Roman" w:eastAsia="Times New Roman" w:hAnsi="Times New Roman" w:cs="Times New Roman"/>
          <w:sz w:val="24"/>
          <w:szCs w:val="24"/>
          <w:lang w:val="es-CO" w:eastAsia="es-ES"/>
        </w:rPr>
        <w:t> numeral 5</w:t>
      </w:r>
      <w:r w:rsidRPr="00AF137C">
        <w:rPr>
          <w:rFonts w:ascii="Times New Roman" w:eastAsia="Times New Roman" w:hAnsi="Times New Roman" w:cs="Times New Roman"/>
          <w:i/>
          <w:iCs/>
          <w:sz w:val="24"/>
          <w:szCs w:val="24"/>
          <w:lang w:val="es-CO" w:eastAsia="es-ES"/>
        </w:rPr>
        <w:t> </w:t>
      </w:r>
      <w:proofErr w:type="spellStart"/>
      <w:r w:rsidRPr="00AF137C">
        <w:rPr>
          <w:rFonts w:ascii="Times New Roman" w:eastAsia="Times New Roman" w:hAnsi="Times New Roman" w:cs="Times New Roman"/>
          <w:i/>
          <w:iCs/>
          <w:sz w:val="24"/>
          <w:szCs w:val="24"/>
          <w:lang w:val="es-CO" w:eastAsia="es-ES"/>
        </w:rPr>
        <w:t>ibídem</w:t>
      </w:r>
      <w:proofErr w:type="spellEnd"/>
      <w:r w:rsidRPr="00AF137C">
        <w:rPr>
          <w:rFonts w:ascii="Times New Roman" w:eastAsia="Times New Roman" w:hAnsi="Times New Roman" w:cs="Times New Roman"/>
          <w:sz w:val="24"/>
          <w:szCs w:val="24"/>
          <w:lang w:val="es-CO" w:eastAsia="es-ES"/>
        </w:rPr>
        <w:t> dispone:</w:t>
      </w:r>
    </w:p>
    <w:p w14:paraId="5C2E5FDC" w14:textId="77777777" w:rsidR="001F61CD" w:rsidRPr="00AF137C" w:rsidRDefault="001F61CD" w:rsidP="0069729F">
      <w:pPr>
        <w:spacing w:after="0" w:line="360" w:lineRule="auto"/>
        <w:ind w:left="284"/>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eastAsia="es-ES"/>
        </w:rPr>
        <w:t> </w:t>
      </w:r>
    </w:p>
    <w:p w14:paraId="7A2062B2" w14:textId="77777777" w:rsidR="001F61CD" w:rsidRPr="00AF137C" w:rsidRDefault="00936037" w:rsidP="0069729F">
      <w:pPr>
        <w:spacing w:after="0" w:line="360" w:lineRule="auto"/>
        <w:ind w:left="284"/>
        <w:jc w:val="both"/>
        <w:rPr>
          <w:rFonts w:ascii="Times New Roman" w:eastAsia="Times New Roman" w:hAnsi="Times New Roman" w:cs="Times New Roman"/>
          <w:sz w:val="24"/>
          <w:szCs w:val="24"/>
          <w:lang w:eastAsia="es-ES"/>
        </w:rPr>
      </w:pPr>
      <w:hyperlink r:id="rId10" w:tooltip="Estatuto Tributario CETA" w:history="1">
        <w:r w:rsidR="001F61CD" w:rsidRPr="00AF137C">
          <w:rPr>
            <w:rFonts w:ascii="Times New Roman" w:eastAsia="Times New Roman" w:hAnsi="Times New Roman" w:cs="Times New Roman"/>
            <w:b/>
            <w:bCs/>
            <w:i/>
            <w:iCs/>
            <w:sz w:val="24"/>
            <w:szCs w:val="24"/>
            <w:lang w:val="es-CO" w:eastAsia="es-ES"/>
          </w:rPr>
          <w:t>ARTÍCULO 606</w:t>
        </w:r>
      </w:hyperlink>
      <w:r w:rsidR="001F61CD" w:rsidRPr="00AF137C">
        <w:rPr>
          <w:rFonts w:ascii="Times New Roman" w:eastAsia="Times New Roman" w:hAnsi="Times New Roman" w:cs="Times New Roman"/>
          <w:b/>
          <w:bCs/>
          <w:i/>
          <w:iCs/>
          <w:sz w:val="24"/>
          <w:szCs w:val="24"/>
          <w:lang w:val="es-CO" w:eastAsia="es-ES"/>
        </w:rPr>
        <w:t> . CONTENIDO DE LA DECLARACIÓN DE RETENCIÓN.</w:t>
      </w:r>
      <w:r w:rsidR="001F61CD" w:rsidRPr="00AF137C">
        <w:rPr>
          <w:rFonts w:ascii="Times New Roman" w:eastAsia="Times New Roman" w:hAnsi="Times New Roman" w:cs="Times New Roman"/>
          <w:i/>
          <w:iCs/>
          <w:sz w:val="24"/>
          <w:szCs w:val="24"/>
          <w:lang w:val="es-CO" w:eastAsia="es-ES"/>
        </w:rPr>
        <w:t> La declaración de retención en la fuente deberá contener:</w:t>
      </w:r>
    </w:p>
    <w:p w14:paraId="47773675" w14:textId="77777777" w:rsidR="001F61CD" w:rsidRPr="00AF137C" w:rsidRDefault="001F61CD" w:rsidP="0069729F">
      <w:pPr>
        <w:spacing w:after="0" w:line="360" w:lineRule="auto"/>
        <w:ind w:left="284"/>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eastAsia="es-ES"/>
        </w:rPr>
        <w:t> </w:t>
      </w:r>
    </w:p>
    <w:p w14:paraId="437100A5" w14:textId="77777777" w:rsidR="001F61CD" w:rsidRPr="00AF137C" w:rsidRDefault="001F61CD" w:rsidP="0069729F">
      <w:pPr>
        <w:spacing w:after="0" w:line="360" w:lineRule="auto"/>
        <w:ind w:left="284"/>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i/>
          <w:iCs/>
          <w:sz w:val="24"/>
          <w:szCs w:val="24"/>
          <w:lang w:val="es-CO" w:eastAsia="es-ES"/>
        </w:rPr>
        <w:t>(...)</w:t>
      </w:r>
    </w:p>
    <w:p w14:paraId="6132811F" w14:textId="77777777" w:rsidR="001F61CD" w:rsidRPr="00AF137C" w:rsidRDefault="001F61CD" w:rsidP="0069729F">
      <w:pPr>
        <w:spacing w:after="0" w:line="360" w:lineRule="auto"/>
        <w:ind w:left="284"/>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eastAsia="es-ES"/>
        </w:rPr>
        <w:t> </w:t>
      </w:r>
    </w:p>
    <w:p w14:paraId="69907187" w14:textId="77777777" w:rsidR="001F61CD" w:rsidRPr="00AF137C" w:rsidRDefault="001F61CD" w:rsidP="0069729F">
      <w:pPr>
        <w:spacing w:after="0" w:line="360" w:lineRule="auto"/>
        <w:ind w:left="284"/>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val="es-CO" w:eastAsia="es-ES"/>
        </w:rPr>
        <w:t>5. </w:t>
      </w:r>
      <w:r w:rsidRPr="00AF137C">
        <w:rPr>
          <w:rFonts w:ascii="Times New Roman" w:eastAsia="Times New Roman" w:hAnsi="Times New Roman" w:cs="Times New Roman"/>
          <w:i/>
          <w:iCs/>
          <w:sz w:val="24"/>
          <w:szCs w:val="24"/>
          <w:lang w:val="es-CO" w:eastAsia="es-ES"/>
        </w:rPr>
        <w:t xml:space="preserve">La firma del revisor fiscal cuando se trate de agentes retenedores obligados a llevar libros de contabilidad y </w:t>
      </w:r>
      <w:proofErr w:type="gramStart"/>
      <w:r w:rsidRPr="00AF137C">
        <w:rPr>
          <w:rFonts w:ascii="Times New Roman" w:eastAsia="Times New Roman" w:hAnsi="Times New Roman" w:cs="Times New Roman"/>
          <w:i/>
          <w:iCs/>
          <w:sz w:val="24"/>
          <w:szCs w:val="24"/>
          <w:lang w:val="es-CO" w:eastAsia="es-ES"/>
        </w:rPr>
        <w:t>que</w:t>
      </w:r>
      <w:proofErr w:type="gramEnd"/>
      <w:r w:rsidRPr="00AF137C">
        <w:rPr>
          <w:rFonts w:ascii="Times New Roman" w:eastAsia="Times New Roman" w:hAnsi="Times New Roman" w:cs="Times New Roman"/>
          <w:i/>
          <w:iCs/>
          <w:sz w:val="24"/>
          <w:szCs w:val="24"/>
          <w:lang w:val="es-CO" w:eastAsia="es-ES"/>
        </w:rPr>
        <w:t xml:space="preserve"> de conformidad con el Código de Comercio y demás normas vigentes sobre la materia, estén obligados a tener Revisor Fiscal.</w:t>
      </w:r>
    </w:p>
    <w:p w14:paraId="65603E21" w14:textId="77777777" w:rsidR="001F61CD" w:rsidRPr="00AF137C" w:rsidRDefault="001F61CD" w:rsidP="0069729F">
      <w:pPr>
        <w:spacing w:after="0" w:line="360" w:lineRule="auto"/>
        <w:ind w:left="284"/>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eastAsia="es-ES"/>
        </w:rPr>
        <w:t> </w:t>
      </w:r>
    </w:p>
    <w:p w14:paraId="383C5C05" w14:textId="77777777" w:rsidR="001F61CD" w:rsidRPr="00AF137C" w:rsidRDefault="001F61CD" w:rsidP="0069729F">
      <w:pPr>
        <w:spacing w:after="0" w:line="360" w:lineRule="auto"/>
        <w:ind w:left="284"/>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i/>
          <w:iCs/>
          <w:sz w:val="24"/>
          <w:szCs w:val="24"/>
          <w:lang w:val="es-CO" w:eastAsia="es-ES"/>
        </w:rPr>
        <w:t>&lt; Ajuste de las cifras en valores absolutos en términos de UVT por el artículo 51 de la Ley 1111 de 2006 (A partir del año gravable 2007). El texto con el nuevo término es el siguiente: &gt; Los demás responsables y agentes retenedores obligados a llevar libros de contabilidad, deberán presentar la declaración del impuesto sobre las ventas o la declaración mensual de retención en la fuente, según sea el caso, firmada por contador público, vinculado o no laboralmente a la empresa, cuando el patrimonio bruto del responsable o agente retenedor en el último día del año inmediatamente anterior o los ingresos brutos de dicho año, sean superiores a 100.000 UVT.</w:t>
      </w:r>
    </w:p>
    <w:p w14:paraId="7EA2F218" w14:textId="77777777" w:rsidR="001F61CD" w:rsidRPr="00AF137C" w:rsidRDefault="001F61CD" w:rsidP="0069729F">
      <w:pPr>
        <w:spacing w:after="0" w:line="360" w:lineRule="auto"/>
        <w:ind w:left="284"/>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eastAsia="es-ES"/>
        </w:rPr>
        <w:t> </w:t>
      </w:r>
    </w:p>
    <w:p w14:paraId="4C2E9175" w14:textId="77777777" w:rsidR="001F61CD" w:rsidRPr="00AF137C" w:rsidRDefault="001F61CD" w:rsidP="0069729F">
      <w:pPr>
        <w:spacing w:after="0" w:line="360" w:lineRule="auto"/>
        <w:ind w:left="284"/>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i/>
          <w:iCs/>
          <w:sz w:val="24"/>
          <w:szCs w:val="24"/>
          <w:lang w:val="es-CO" w:eastAsia="es-ES"/>
        </w:rPr>
        <w:t>Cuando se diere aplicación a lo dispuesto en el presente numeral, deberá informarse en la declaración de retenciones el nombre completo y número de matrícula del contador público o revisor fiscal que firma la declaración.</w:t>
      </w:r>
    </w:p>
    <w:p w14:paraId="318F1065" w14:textId="77777777" w:rsidR="001F61CD" w:rsidRPr="00AF137C" w:rsidRDefault="001F61CD" w:rsidP="0069729F">
      <w:pPr>
        <w:spacing w:after="0" w:line="360" w:lineRule="auto"/>
        <w:ind w:left="284"/>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eastAsia="es-ES"/>
        </w:rPr>
        <w:t> </w:t>
      </w:r>
    </w:p>
    <w:p w14:paraId="5874B2D4" w14:textId="77777777" w:rsidR="001F61CD" w:rsidRPr="00AF137C" w:rsidRDefault="001F61CD" w:rsidP="0069729F">
      <w:pPr>
        <w:spacing w:after="0" w:line="360" w:lineRule="auto"/>
        <w:ind w:left="284"/>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i/>
          <w:iCs/>
          <w:sz w:val="24"/>
          <w:szCs w:val="24"/>
          <w:lang w:val="es-CO" w:eastAsia="es-ES"/>
        </w:rPr>
        <w:lastRenderedPageBreak/>
        <w:t>(...)".</w:t>
      </w:r>
    </w:p>
    <w:p w14:paraId="0FFD5B71"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eastAsia="es-ES"/>
        </w:rPr>
        <w:t> </w:t>
      </w:r>
    </w:p>
    <w:p w14:paraId="05A9AB29"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val="es-CO" w:eastAsia="es-ES"/>
        </w:rPr>
        <w:t xml:space="preserve">Así las cosas, la relación de retenciones y/o </w:t>
      </w:r>
      <w:proofErr w:type="spellStart"/>
      <w:r w:rsidRPr="00AF137C">
        <w:rPr>
          <w:rFonts w:ascii="Times New Roman" w:eastAsia="Times New Roman" w:hAnsi="Times New Roman" w:cs="Times New Roman"/>
          <w:sz w:val="24"/>
          <w:szCs w:val="24"/>
          <w:lang w:val="es-CO" w:eastAsia="es-ES"/>
        </w:rPr>
        <w:t>autoretenciones</w:t>
      </w:r>
      <w:proofErr w:type="spellEnd"/>
      <w:r w:rsidRPr="00AF137C">
        <w:rPr>
          <w:rFonts w:ascii="Times New Roman" w:eastAsia="Times New Roman" w:hAnsi="Times New Roman" w:cs="Times New Roman"/>
          <w:sz w:val="24"/>
          <w:szCs w:val="24"/>
          <w:lang w:val="es-CO" w:eastAsia="es-ES"/>
        </w:rPr>
        <w:t xml:space="preserve"> en la fuente que originaron el saldo a favor (Art. 1.6.1.21.14 numeral 1) y la relación de costos y gastos declarados en el período objeto de solicitud (Art. 1.6.1.21.14 numeral 2) tendrán que ser </w:t>
      </w:r>
      <w:r w:rsidRPr="00AF137C">
        <w:rPr>
          <w:rFonts w:ascii="Times New Roman" w:eastAsia="Times New Roman" w:hAnsi="Times New Roman" w:cs="Times New Roman"/>
          <w:i/>
          <w:iCs/>
          <w:sz w:val="24"/>
          <w:szCs w:val="24"/>
          <w:lang w:val="es-CO" w:eastAsia="es-ES"/>
        </w:rPr>
        <w:t>certificada</w:t>
      </w:r>
      <w:r w:rsidRPr="00AF137C">
        <w:rPr>
          <w:rFonts w:ascii="Times New Roman" w:eastAsia="Times New Roman" w:hAnsi="Times New Roman" w:cs="Times New Roman"/>
          <w:sz w:val="24"/>
          <w:szCs w:val="24"/>
          <w:lang w:val="es-CO" w:eastAsia="es-ES"/>
        </w:rPr>
        <w:t> [s] </w:t>
      </w:r>
      <w:r w:rsidRPr="00AF137C">
        <w:rPr>
          <w:rFonts w:ascii="Times New Roman" w:eastAsia="Times New Roman" w:hAnsi="Times New Roman" w:cs="Times New Roman"/>
          <w:i/>
          <w:iCs/>
          <w:sz w:val="24"/>
          <w:szCs w:val="24"/>
          <w:lang w:val="es-CO" w:eastAsia="es-ES"/>
        </w:rPr>
        <w:t>por revisor fiscal o contador público,</w:t>
      </w:r>
      <w:r w:rsidRPr="00AF137C">
        <w:rPr>
          <w:rFonts w:ascii="Times New Roman" w:eastAsia="Times New Roman" w:hAnsi="Times New Roman" w:cs="Times New Roman"/>
          <w:sz w:val="24"/>
          <w:szCs w:val="24"/>
          <w:lang w:val="es-CO" w:eastAsia="es-ES"/>
        </w:rPr>
        <w:t> cuando, la declaración de retención en la fuente o la declaración de renta deba serlo, conforme al numeral 6 del artículo 596 o al numeral 5 del </w:t>
      </w:r>
      <w:hyperlink r:id="rId11" w:tooltip="Estatuto Tributario CETA" w:history="1">
        <w:r w:rsidRPr="00AF137C">
          <w:rPr>
            <w:rFonts w:ascii="Times New Roman" w:eastAsia="Times New Roman" w:hAnsi="Times New Roman" w:cs="Times New Roman"/>
            <w:sz w:val="24"/>
            <w:szCs w:val="24"/>
            <w:lang w:val="es-CO" w:eastAsia="es-ES"/>
          </w:rPr>
          <w:t>artículo 606</w:t>
        </w:r>
      </w:hyperlink>
      <w:r w:rsidRPr="00AF137C">
        <w:rPr>
          <w:rFonts w:ascii="Times New Roman" w:eastAsia="Times New Roman" w:hAnsi="Times New Roman" w:cs="Times New Roman"/>
          <w:sz w:val="24"/>
          <w:szCs w:val="24"/>
          <w:lang w:val="es-CO" w:eastAsia="es-ES"/>
        </w:rPr>
        <w:t> del estatuto tributario, respectivamente.</w:t>
      </w:r>
    </w:p>
    <w:p w14:paraId="591804B5"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eastAsia="es-ES"/>
        </w:rPr>
        <w:t> </w:t>
      </w:r>
    </w:p>
    <w:p w14:paraId="0979722B"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val="es-CO" w:eastAsia="es-ES"/>
        </w:rPr>
        <w:t>En los demás casos, cuando el contribuyente no se encuentre obligado a lo establecido en el numeral 6 del </w:t>
      </w:r>
      <w:hyperlink r:id="rId12" w:tooltip="Estatuto Tributario CETA" w:history="1">
        <w:r w:rsidRPr="00AF137C">
          <w:rPr>
            <w:rFonts w:ascii="Times New Roman" w:eastAsia="Times New Roman" w:hAnsi="Times New Roman" w:cs="Times New Roman"/>
            <w:sz w:val="24"/>
            <w:szCs w:val="24"/>
            <w:lang w:val="es-CO" w:eastAsia="es-ES"/>
          </w:rPr>
          <w:t>artículo 596</w:t>
        </w:r>
      </w:hyperlink>
      <w:r w:rsidRPr="00AF137C">
        <w:rPr>
          <w:rFonts w:ascii="Times New Roman" w:eastAsia="Times New Roman" w:hAnsi="Times New Roman" w:cs="Times New Roman"/>
          <w:sz w:val="24"/>
          <w:szCs w:val="24"/>
          <w:lang w:val="es-CO" w:eastAsia="es-ES"/>
        </w:rPr>
        <w:t> del Estatuto Tributario, no se requerirá certificación de revisor fiscal o contador público.</w:t>
      </w:r>
    </w:p>
    <w:p w14:paraId="131D8A01"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eastAsia="es-ES"/>
        </w:rPr>
        <w:t> </w:t>
      </w:r>
    </w:p>
    <w:p w14:paraId="6F440C8C" w14:textId="77777777" w:rsidR="001F61CD" w:rsidRPr="00BE3F57" w:rsidRDefault="001F61CD" w:rsidP="0069729F">
      <w:pPr>
        <w:spacing w:after="0" w:line="360" w:lineRule="auto"/>
        <w:jc w:val="both"/>
        <w:rPr>
          <w:rFonts w:ascii="Times New Roman" w:eastAsia="Times New Roman" w:hAnsi="Times New Roman" w:cs="Times New Roman"/>
          <w:b/>
          <w:bCs/>
          <w:sz w:val="32"/>
          <w:szCs w:val="32"/>
          <w:lang w:eastAsia="es-ES"/>
        </w:rPr>
      </w:pPr>
      <w:r w:rsidRPr="0069729F">
        <w:rPr>
          <w:rFonts w:ascii="Times New Roman" w:eastAsia="Times New Roman" w:hAnsi="Times New Roman" w:cs="Times New Roman"/>
          <w:b/>
          <w:bCs/>
          <w:sz w:val="32"/>
          <w:szCs w:val="32"/>
          <w:highlight w:val="green"/>
          <w:lang w:val="es-CO" w:eastAsia="es-ES"/>
        </w:rPr>
        <w:t>2. Aclarar</w:t>
      </w:r>
      <w:r w:rsidRPr="0069729F">
        <w:rPr>
          <w:rFonts w:ascii="Times New Roman" w:eastAsia="Times New Roman" w:hAnsi="Times New Roman" w:cs="Times New Roman"/>
          <w:b/>
          <w:bCs/>
          <w:i/>
          <w:iCs/>
          <w:sz w:val="32"/>
          <w:szCs w:val="32"/>
          <w:highlight w:val="green"/>
          <w:lang w:val="es-CO" w:eastAsia="es-ES"/>
        </w:rPr>
        <w:t> si la relación de costos y gastos que solicitan de períodos anteriores que ya se encuentran en firme iría en contra del término de firmeza consagrado en el </w:t>
      </w:r>
      <w:hyperlink r:id="rId13" w:tooltip="Estatuto Tributario CETA" w:history="1">
        <w:r w:rsidRPr="0069729F">
          <w:rPr>
            <w:rFonts w:ascii="Times New Roman" w:eastAsia="Times New Roman" w:hAnsi="Times New Roman" w:cs="Times New Roman"/>
            <w:b/>
            <w:bCs/>
            <w:i/>
            <w:iCs/>
            <w:sz w:val="32"/>
            <w:szCs w:val="32"/>
            <w:highlight w:val="green"/>
            <w:lang w:val="es-CO" w:eastAsia="es-ES"/>
          </w:rPr>
          <w:t>artículo 714</w:t>
        </w:r>
      </w:hyperlink>
      <w:r w:rsidRPr="0069729F">
        <w:rPr>
          <w:rFonts w:ascii="Times New Roman" w:eastAsia="Times New Roman" w:hAnsi="Times New Roman" w:cs="Times New Roman"/>
          <w:b/>
          <w:bCs/>
          <w:i/>
          <w:iCs/>
          <w:sz w:val="32"/>
          <w:szCs w:val="32"/>
          <w:highlight w:val="green"/>
          <w:lang w:val="es-CO" w:eastAsia="es-ES"/>
        </w:rPr>
        <w:t> del Estatuto Tributario o se entendería como un mero informe de vigencias ya en firme.</w:t>
      </w:r>
    </w:p>
    <w:p w14:paraId="20A23BF1" w14:textId="77777777" w:rsidR="001F61CD" w:rsidRPr="00AF137C" w:rsidRDefault="001F61CD" w:rsidP="0069729F">
      <w:pPr>
        <w:spacing w:after="0" w:line="360" w:lineRule="auto"/>
        <w:jc w:val="both"/>
        <w:rPr>
          <w:rFonts w:ascii="Times New Roman" w:eastAsia="Times New Roman" w:hAnsi="Times New Roman" w:cs="Times New Roman"/>
          <w:b/>
          <w:bCs/>
          <w:sz w:val="28"/>
          <w:szCs w:val="28"/>
          <w:lang w:eastAsia="es-ES"/>
        </w:rPr>
      </w:pPr>
      <w:r w:rsidRPr="00AF137C">
        <w:rPr>
          <w:rFonts w:ascii="Times New Roman" w:eastAsia="Times New Roman" w:hAnsi="Times New Roman" w:cs="Times New Roman"/>
          <w:b/>
          <w:bCs/>
          <w:sz w:val="28"/>
          <w:szCs w:val="28"/>
          <w:lang w:eastAsia="es-ES"/>
        </w:rPr>
        <w:t> </w:t>
      </w:r>
    </w:p>
    <w:p w14:paraId="0AE24161"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val="es-CO" w:eastAsia="es-ES"/>
        </w:rPr>
        <w:t>Se transcribe el inciso que contiene la disposición a que se refiere la pregunta:</w:t>
      </w:r>
    </w:p>
    <w:p w14:paraId="24F2DBE4" w14:textId="77777777" w:rsidR="001F61CD" w:rsidRPr="00AF137C" w:rsidRDefault="001F61CD" w:rsidP="0069729F">
      <w:pPr>
        <w:spacing w:after="0" w:line="360" w:lineRule="auto"/>
        <w:ind w:left="284"/>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eastAsia="es-ES"/>
        </w:rPr>
        <w:t> </w:t>
      </w:r>
    </w:p>
    <w:p w14:paraId="13EA6F68" w14:textId="77777777" w:rsidR="001F61CD" w:rsidRPr="00AF137C" w:rsidRDefault="001F61CD" w:rsidP="0069729F">
      <w:pPr>
        <w:spacing w:after="0" w:line="360" w:lineRule="auto"/>
        <w:ind w:left="284"/>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b/>
          <w:bCs/>
          <w:i/>
          <w:iCs/>
          <w:sz w:val="24"/>
          <w:szCs w:val="24"/>
          <w:lang w:val="es-CO" w:eastAsia="es-ES"/>
        </w:rPr>
        <w:t>Artículo 1.6.1.21.14.</w:t>
      </w:r>
      <w:r w:rsidRPr="00AF137C">
        <w:rPr>
          <w:rFonts w:ascii="Times New Roman" w:eastAsia="Times New Roman" w:hAnsi="Times New Roman" w:cs="Times New Roman"/>
          <w:i/>
          <w:iCs/>
          <w:sz w:val="24"/>
          <w:szCs w:val="24"/>
          <w:lang w:val="es-CO" w:eastAsia="es-ES"/>
        </w:rPr>
        <w:t> Requisitos especiales en las solicitudes de devolución y/o compensación de saldos a favor de determinados en las declaraciones del impuesto sobre la renta y complementario. Cuando se trate de un saldo a favor originado en una declaración de renta y complementario, se deberá adjuntar, además:</w:t>
      </w:r>
    </w:p>
    <w:p w14:paraId="23C09764" w14:textId="77777777" w:rsidR="001F61CD" w:rsidRPr="00AF137C" w:rsidRDefault="001F61CD" w:rsidP="0069729F">
      <w:pPr>
        <w:spacing w:after="0" w:line="360" w:lineRule="auto"/>
        <w:ind w:left="284"/>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eastAsia="es-ES"/>
        </w:rPr>
        <w:t> </w:t>
      </w:r>
    </w:p>
    <w:p w14:paraId="2E7C8A0E" w14:textId="77777777" w:rsidR="001F61CD" w:rsidRPr="00AF137C" w:rsidRDefault="001F61CD" w:rsidP="0069729F">
      <w:pPr>
        <w:spacing w:after="0" w:line="360" w:lineRule="auto"/>
        <w:ind w:left="284"/>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i/>
          <w:iCs/>
          <w:sz w:val="24"/>
          <w:szCs w:val="24"/>
          <w:lang w:val="es-CO" w:eastAsia="es-ES"/>
        </w:rPr>
        <w:t>(…)</w:t>
      </w:r>
    </w:p>
    <w:p w14:paraId="7AC913CC" w14:textId="77777777" w:rsidR="001F61CD" w:rsidRPr="00AF137C" w:rsidRDefault="001F61CD" w:rsidP="0069729F">
      <w:pPr>
        <w:spacing w:after="0" w:line="360" w:lineRule="auto"/>
        <w:ind w:left="284"/>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eastAsia="es-ES"/>
        </w:rPr>
        <w:t> </w:t>
      </w:r>
    </w:p>
    <w:p w14:paraId="0F097BB6" w14:textId="77777777" w:rsidR="001F61CD" w:rsidRPr="00AF137C" w:rsidRDefault="001F61CD" w:rsidP="0069729F">
      <w:pPr>
        <w:spacing w:after="0" w:line="360" w:lineRule="auto"/>
        <w:ind w:left="284"/>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val="es-CO" w:eastAsia="es-ES"/>
        </w:rPr>
        <w:t>2</w:t>
      </w:r>
      <w:r w:rsidRPr="00AF137C">
        <w:rPr>
          <w:rFonts w:ascii="Times New Roman" w:eastAsia="Times New Roman" w:hAnsi="Times New Roman" w:cs="Times New Roman"/>
          <w:i/>
          <w:iCs/>
          <w:sz w:val="24"/>
          <w:szCs w:val="24"/>
          <w:lang w:val="es-CO" w:eastAsia="es-ES"/>
        </w:rPr>
        <w:t xml:space="preserve">. Una relación de los costos y gastos declarados en el período objeto de solicitud y de los que componen el arrastre certificada por revisor fiscal o contador público, cuando a ello hubiere lugar, indicando: Número de Identificación Tributaria (NIT), nombres y apellidos o razón </w:t>
      </w:r>
      <w:r w:rsidRPr="00AF137C">
        <w:rPr>
          <w:rFonts w:ascii="Times New Roman" w:eastAsia="Times New Roman" w:hAnsi="Times New Roman" w:cs="Times New Roman"/>
          <w:i/>
          <w:iCs/>
          <w:sz w:val="24"/>
          <w:szCs w:val="24"/>
          <w:lang w:val="es-CO" w:eastAsia="es-ES"/>
        </w:rPr>
        <w:lastRenderedPageBreak/>
        <w:t>social del proveedor, concepto del costo, gasto y/o deducción, número, fecha de expedición y valor del costo, gasto y/o deducción".</w:t>
      </w:r>
    </w:p>
    <w:p w14:paraId="79DBBFAB"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eastAsia="es-ES"/>
        </w:rPr>
        <w:t> </w:t>
      </w:r>
    </w:p>
    <w:p w14:paraId="7E54F90E" w14:textId="77777777" w:rsidR="001F61CD" w:rsidRPr="00AF137C" w:rsidRDefault="001F61CD" w:rsidP="0069729F">
      <w:pPr>
        <w:spacing w:after="0" w:line="360" w:lineRule="auto"/>
        <w:jc w:val="both"/>
        <w:rPr>
          <w:rFonts w:ascii="Times New Roman" w:eastAsia="Times New Roman" w:hAnsi="Times New Roman" w:cs="Times New Roman"/>
          <w:sz w:val="32"/>
          <w:szCs w:val="32"/>
          <w:u w:val="single"/>
          <w:lang w:eastAsia="es-ES"/>
        </w:rPr>
      </w:pPr>
      <w:r w:rsidRPr="0069729F">
        <w:rPr>
          <w:rFonts w:ascii="Times New Roman" w:eastAsia="Times New Roman" w:hAnsi="Times New Roman" w:cs="Times New Roman"/>
          <w:sz w:val="32"/>
          <w:szCs w:val="32"/>
          <w:highlight w:val="green"/>
          <w:u w:val="single"/>
          <w:lang w:val="es-CO" w:eastAsia="es-ES"/>
        </w:rPr>
        <w:t>El término general de firmeza de las declaraciones tributarias de renta fijado por el legislador en el </w:t>
      </w:r>
      <w:hyperlink r:id="rId14" w:tooltip="Estatuto Tributario CETA" w:history="1">
        <w:r w:rsidRPr="0069729F">
          <w:rPr>
            <w:rFonts w:ascii="Times New Roman" w:eastAsia="Times New Roman" w:hAnsi="Times New Roman" w:cs="Times New Roman"/>
            <w:sz w:val="32"/>
            <w:szCs w:val="32"/>
            <w:highlight w:val="green"/>
            <w:u w:val="single"/>
            <w:lang w:val="es-CO" w:eastAsia="es-ES"/>
          </w:rPr>
          <w:t>artículo 714</w:t>
        </w:r>
      </w:hyperlink>
      <w:r w:rsidRPr="0069729F">
        <w:rPr>
          <w:rFonts w:ascii="Times New Roman" w:eastAsia="Times New Roman" w:hAnsi="Times New Roman" w:cs="Times New Roman"/>
          <w:sz w:val="32"/>
          <w:szCs w:val="32"/>
          <w:highlight w:val="green"/>
          <w:u w:val="single"/>
          <w:lang w:val="es-CO" w:eastAsia="es-ES"/>
        </w:rPr>
        <w:t xml:space="preserve"> del Estatuto Tributario modificado por el artículo 277 de la Ley 1819 de 2016 </w:t>
      </w:r>
      <w:r w:rsidRPr="0069729F">
        <w:rPr>
          <w:rFonts w:ascii="Times New Roman" w:eastAsia="Times New Roman" w:hAnsi="Times New Roman" w:cs="Times New Roman"/>
          <w:b/>
          <w:bCs/>
          <w:sz w:val="32"/>
          <w:szCs w:val="32"/>
          <w:highlight w:val="yellow"/>
          <w:u w:val="single"/>
          <w:lang w:val="es-CO" w:eastAsia="es-ES"/>
        </w:rPr>
        <w:t>solo puede ser desvirtuado por la misma ley</w:t>
      </w:r>
      <w:r w:rsidRPr="0069729F">
        <w:rPr>
          <w:rFonts w:ascii="Times New Roman" w:eastAsia="Times New Roman" w:hAnsi="Times New Roman" w:cs="Times New Roman"/>
          <w:sz w:val="32"/>
          <w:szCs w:val="32"/>
          <w:highlight w:val="green"/>
          <w:lang w:val="es-CO" w:eastAsia="es-ES"/>
        </w:rPr>
        <w:t>.</w:t>
      </w:r>
      <w:r w:rsidRPr="00AF137C">
        <w:rPr>
          <w:rFonts w:ascii="Times New Roman" w:eastAsia="Times New Roman" w:hAnsi="Times New Roman" w:cs="Times New Roman"/>
          <w:sz w:val="32"/>
          <w:szCs w:val="32"/>
          <w:lang w:val="es-CO" w:eastAsia="es-ES"/>
        </w:rPr>
        <w:t xml:space="preserve"> </w:t>
      </w:r>
      <w:r w:rsidRPr="00AF137C">
        <w:rPr>
          <w:rFonts w:ascii="Times New Roman" w:eastAsia="Times New Roman" w:hAnsi="Times New Roman" w:cs="Times New Roman"/>
          <w:sz w:val="32"/>
          <w:szCs w:val="32"/>
          <w:u w:val="single"/>
          <w:lang w:val="es-CO" w:eastAsia="es-ES"/>
        </w:rPr>
        <w:t>En consecuencia, en el contexto de la devolución automática,</w:t>
      </w:r>
      <w:r w:rsidRPr="00AF137C">
        <w:rPr>
          <w:rFonts w:ascii="Times New Roman" w:eastAsia="Times New Roman" w:hAnsi="Times New Roman" w:cs="Times New Roman"/>
          <w:sz w:val="32"/>
          <w:szCs w:val="32"/>
          <w:lang w:val="es-CO" w:eastAsia="es-ES"/>
        </w:rPr>
        <w:t xml:space="preserve"> de no llegar a cumplir dicha relación, los requisitos que la disposición le exige, </w:t>
      </w:r>
      <w:r w:rsidRPr="0069729F">
        <w:rPr>
          <w:rFonts w:ascii="Times New Roman" w:eastAsia="Times New Roman" w:hAnsi="Times New Roman" w:cs="Times New Roman"/>
          <w:sz w:val="32"/>
          <w:szCs w:val="32"/>
          <w:highlight w:val="yellow"/>
          <w:u w:val="single"/>
          <w:lang w:val="es-CO" w:eastAsia="es-ES"/>
        </w:rPr>
        <w:t>traería como consecuencia la continuación de la solicitud de devolución por el proceso ordinario de devolución de saldos a favor señalado en los artículos </w:t>
      </w:r>
      <w:hyperlink r:id="rId15" w:tooltip="Estatuto Tributario CETA" w:history="1">
        <w:r w:rsidRPr="0069729F">
          <w:rPr>
            <w:rFonts w:ascii="Times New Roman" w:eastAsia="Times New Roman" w:hAnsi="Times New Roman" w:cs="Times New Roman"/>
            <w:sz w:val="32"/>
            <w:szCs w:val="32"/>
            <w:highlight w:val="yellow"/>
            <w:u w:val="single"/>
            <w:lang w:val="es-CO" w:eastAsia="es-ES"/>
          </w:rPr>
          <w:t>850</w:t>
        </w:r>
      </w:hyperlink>
      <w:r w:rsidRPr="0069729F">
        <w:rPr>
          <w:rFonts w:ascii="Times New Roman" w:eastAsia="Times New Roman" w:hAnsi="Times New Roman" w:cs="Times New Roman"/>
          <w:sz w:val="32"/>
          <w:szCs w:val="32"/>
          <w:highlight w:val="yellow"/>
          <w:u w:val="single"/>
          <w:lang w:val="es-CO" w:eastAsia="es-ES"/>
        </w:rPr>
        <w:t> y siguientes del estatuto tributario.</w:t>
      </w:r>
    </w:p>
    <w:p w14:paraId="1CE38AB2"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eastAsia="es-ES"/>
        </w:rPr>
        <w:t> </w:t>
      </w:r>
    </w:p>
    <w:p w14:paraId="604C84D6" w14:textId="77777777" w:rsidR="001F61CD" w:rsidRPr="00BE3F57" w:rsidRDefault="001F61CD" w:rsidP="0069729F">
      <w:pPr>
        <w:spacing w:after="0" w:line="360" w:lineRule="auto"/>
        <w:jc w:val="both"/>
        <w:rPr>
          <w:rFonts w:ascii="Times New Roman" w:eastAsia="Times New Roman" w:hAnsi="Times New Roman" w:cs="Times New Roman"/>
          <w:sz w:val="32"/>
          <w:szCs w:val="32"/>
          <w:lang w:eastAsia="es-ES"/>
        </w:rPr>
      </w:pPr>
      <w:r w:rsidRPr="00BE3F57">
        <w:rPr>
          <w:rFonts w:ascii="Times New Roman" w:eastAsia="Times New Roman" w:hAnsi="Times New Roman" w:cs="Times New Roman"/>
          <w:sz w:val="32"/>
          <w:szCs w:val="32"/>
          <w:lang w:val="es-CO" w:eastAsia="es-ES"/>
        </w:rPr>
        <w:t>Lo anterior se concluye con base en el inciso 2 del artículo 1.6.1.29.3 del Decreto 1625 de 2016, el cual se transcribe:</w:t>
      </w:r>
    </w:p>
    <w:p w14:paraId="7290EC17" w14:textId="77777777" w:rsidR="001F61CD" w:rsidRPr="00BE3F57" w:rsidRDefault="001F61CD" w:rsidP="0069729F">
      <w:pPr>
        <w:spacing w:after="0" w:line="360" w:lineRule="auto"/>
        <w:ind w:left="284"/>
        <w:jc w:val="both"/>
        <w:rPr>
          <w:rFonts w:ascii="Times New Roman" w:eastAsia="Times New Roman" w:hAnsi="Times New Roman" w:cs="Times New Roman"/>
          <w:sz w:val="32"/>
          <w:szCs w:val="32"/>
          <w:lang w:eastAsia="es-ES"/>
        </w:rPr>
      </w:pPr>
      <w:r w:rsidRPr="00BE3F57">
        <w:rPr>
          <w:rFonts w:ascii="Times New Roman" w:eastAsia="Times New Roman" w:hAnsi="Times New Roman" w:cs="Times New Roman"/>
          <w:sz w:val="32"/>
          <w:szCs w:val="32"/>
          <w:lang w:eastAsia="es-ES"/>
        </w:rPr>
        <w:t> </w:t>
      </w:r>
    </w:p>
    <w:p w14:paraId="3CBE3334" w14:textId="77777777" w:rsidR="001F61CD" w:rsidRPr="0069729F" w:rsidRDefault="001F61CD" w:rsidP="0069729F">
      <w:pPr>
        <w:spacing w:after="0" w:line="360" w:lineRule="auto"/>
        <w:ind w:left="284"/>
        <w:jc w:val="both"/>
        <w:rPr>
          <w:rFonts w:ascii="Times New Roman" w:eastAsia="Times New Roman" w:hAnsi="Times New Roman" w:cs="Times New Roman"/>
          <w:sz w:val="32"/>
          <w:szCs w:val="32"/>
          <w:highlight w:val="green"/>
          <w:lang w:eastAsia="es-ES"/>
        </w:rPr>
      </w:pPr>
      <w:r w:rsidRPr="0069729F">
        <w:rPr>
          <w:rFonts w:ascii="Times New Roman" w:eastAsia="Times New Roman" w:hAnsi="Times New Roman" w:cs="Times New Roman"/>
          <w:b/>
          <w:bCs/>
          <w:i/>
          <w:iCs/>
          <w:sz w:val="32"/>
          <w:szCs w:val="32"/>
          <w:highlight w:val="green"/>
          <w:lang w:val="es-CO" w:eastAsia="es-ES"/>
        </w:rPr>
        <w:t>Artículo 1.6.1.29.3.</w:t>
      </w:r>
      <w:r w:rsidRPr="0069729F">
        <w:rPr>
          <w:rFonts w:ascii="Times New Roman" w:eastAsia="Times New Roman" w:hAnsi="Times New Roman" w:cs="Times New Roman"/>
          <w:i/>
          <w:iCs/>
          <w:sz w:val="32"/>
          <w:szCs w:val="32"/>
          <w:highlight w:val="green"/>
          <w:lang w:val="es-CO" w:eastAsia="es-ES"/>
        </w:rPr>
        <w:t> Término para el reconocimiento de la devolución automática.</w:t>
      </w:r>
    </w:p>
    <w:p w14:paraId="67BF2DAD" w14:textId="77777777" w:rsidR="001F61CD" w:rsidRPr="0069729F" w:rsidRDefault="001F61CD" w:rsidP="0069729F">
      <w:pPr>
        <w:spacing w:after="0" w:line="360" w:lineRule="auto"/>
        <w:ind w:left="284"/>
        <w:jc w:val="both"/>
        <w:rPr>
          <w:rFonts w:ascii="Times New Roman" w:eastAsia="Times New Roman" w:hAnsi="Times New Roman" w:cs="Times New Roman"/>
          <w:sz w:val="32"/>
          <w:szCs w:val="32"/>
          <w:highlight w:val="green"/>
          <w:lang w:eastAsia="es-ES"/>
        </w:rPr>
      </w:pPr>
      <w:r w:rsidRPr="0069729F">
        <w:rPr>
          <w:rFonts w:ascii="Times New Roman" w:eastAsia="Times New Roman" w:hAnsi="Times New Roman" w:cs="Times New Roman"/>
          <w:sz w:val="32"/>
          <w:szCs w:val="32"/>
          <w:highlight w:val="green"/>
          <w:lang w:eastAsia="es-ES"/>
        </w:rPr>
        <w:t> </w:t>
      </w:r>
    </w:p>
    <w:p w14:paraId="2C48333F" w14:textId="77777777" w:rsidR="001F61CD" w:rsidRPr="0069729F" w:rsidRDefault="001F61CD" w:rsidP="0069729F">
      <w:pPr>
        <w:spacing w:after="0" w:line="360" w:lineRule="auto"/>
        <w:ind w:left="284"/>
        <w:jc w:val="both"/>
        <w:rPr>
          <w:rFonts w:ascii="Times New Roman" w:eastAsia="Times New Roman" w:hAnsi="Times New Roman" w:cs="Times New Roman"/>
          <w:sz w:val="32"/>
          <w:szCs w:val="32"/>
          <w:highlight w:val="green"/>
          <w:lang w:eastAsia="es-ES"/>
        </w:rPr>
      </w:pPr>
      <w:r w:rsidRPr="0069729F">
        <w:rPr>
          <w:rFonts w:ascii="Times New Roman" w:eastAsia="Times New Roman" w:hAnsi="Times New Roman" w:cs="Times New Roman"/>
          <w:i/>
          <w:iCs/>
          <w:sz w:val="32"/>
          <w:szCs w:val="32"/>
          <w:highlight w:val="green"/>
          <w:lang w:val="es-CO" w:eastAsia="es-ES"/>
        </w:rPr>
        <w:t>(...)</w:t>
      </w:r>
    </w:p>
    <w:p w14:paraId="68E2B2DA" w14:textId="77777777" w:rsidR="001F61CD" w:rsidRPr="0069729F" w:rsidRDefault="001F61CD" w:rsidP="0069729F">
      <w:pPr>
        <w:spacing w:after="0" w:line="360" w:lineRule="auto"/>
        <w:ind w:left="284"/>
        <w:jc w:val="both"/>
        <w:rPr>
          <w:rFonts w:ascii="Times New Roman" w:eastAsia="Times New Roman" w:hAnsi="Times New Roman" w:cs="Times New Roman"/>
          <w:sz w:val="32"/>
          <w:szCs w:val="32"/>
          <w:highlight w:val="green"/>
          <w:lang w:eastAsia="es-ES"/>
        </w:rPr>
      </w:pPr>
      <w:r w:rsidRPr="0069729F">
        <w:rPr>
          <w:rFonts w:ascii="Times New Roman" w:eastAsia="Times New Roman" w:hAnsi="Times New Roman" w:cs="Times New Roman"/>
          <w:sz w:val="32"/>
          <w:szCs w:val="32"/>
          <w:highlight w:val="green"/>
          <w:lang w:eastAsia="es-ES"/>
        </w:rPr>
        <w:t> </w:t>
      </w:r>
    </w:p>
    <w:p w14:paraId="5BF45386" w14:textId="77777777" w:rsidR="001F61CD" w:rsidRPr="00BE3F57" w:rsidRDefault="001F61CD" w:rsidP="0069729F">
      <w:pPr>
        <w:spacing w:after="0" w:line="360" w:lineRule="auto"/>
        <w:ind w:left="284"/>
        <w:jc w:val="both"/>
        <w:rPr>
          <w:rFonts w:ascii="Times New Roman" w:eastAsia="Times New Roman" w:hAnsi="Times New Roman" w:cs="Times New Roman"/>
          <w:sz w:val="32"/>
          <w:szCs w:val="32"/>
          <w:lang w:eastAsia="es-ES"/>
        </w:rPr>
      </w:pPr>
      <w:r w:rsidRPr="0069729F">
        <w:rPr>
          <w:rFonts w:ascii="Times New Roman" w:eastAsia="Times New Roman" w:hAnsi="Times New Roman" w:cs="Times New Roman"/>
          <w:i/>
          <w:iCs/>
          <w:sz w:val="32"/>
          <w:szCs w:val="32"/>
          <w:highlight w:val="green"/>
          <w:lang w:val="es-CO" w:eastAsia="es-ES"/>
        </w:rPr>
        <w:t>Las solicitudes de devolución que no cumplan los requisitos establecidos para tener derecho a la devolución automática, continuarán con el proceso ordinario, sin que se requiera acto administrativo que así lo indique".</w:t>
      </w:r>
    </w:p>
    <w:p w14:paraId="47351EF6" w14:textId="77777777" w:rsidR="001F61CD" w:rsidRPr="00BE3F57" w:rsidRDefault="001F61CD" w:rsidP="0069729F">
      <w:pPr>
        <w:spacing w:after="0" w:line="360" w:lineRule="auto"/>
        <w:jc w:val="both"/>
        <w:rPr>
          <w:rFonts w:ascii="Times New Roman" w:eastAsia="Times New Roman" w:hAnsi="Times New Roman" w:cs="Times New Roman"/>
          <w:sz w:val="32"/>
          <w:szCs w:val="32"/>
          <w:lang w:eastAsia="es-ES"/>
        </w:rPr>
      </w:pPr>
      <w:r w:rsidRPr="00BE3F57">
        <w:rPr>
          <w:rFonts w:ascii="Times New Roman" w:eastAsia="Times New Roman" w:hAnsi="Times New Roman" w:cs="Times New Roman"/>
          <w:sz w:val="32"/>
          <w:szCs w:val="32"/>
          <w:lang w:eastAsia="es-ES"/>
        </w:rPr>
        <w:lastRenderedPageBreak/>
        <w:t> </w:t>
      </w:r>
    </w:p>
    <w:p w14:paraId="5BF190B1"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eastAsia="es-ES"/>
        </w:rPr>
        <w:t> </w:t>
      </w:r>
    </w:p>
    <w:p w14:paraId="5D48C186"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val="es-CO" w:eastAsia="es-ES"/>
        </w:rPr>
        <w:t>Atentamente,</w:t>
      </w:r>
    </w:p>
    <w:p w14:paraId="4B3508BF"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eastAsia="es-ES"/>
        </w:rPr>
        <w:t> </w:t>
      </w:r>
    </w:p>
    <w:p w14:paraId="4C9D63C6"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eastAsia="es-ES"/>
        </w:rPr>
        <w:t> </w:t>
      </w:r>
    </w:p>
    <w:p w14:paraId="4D097B58"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b/>
          <w:bCs/>
          <w:sz w:val="24"/>
          <w:szCs w:val="24"/>
          <w:lang w:val="es-CO" w:eastAsia="es-ES"/>
        </w:rPr>
        <w:t>LORENZO CASTILLO BARVO</w:t>
      </w:r>
    </w:p>
    <w:p w14:paraId="7FCDC5B1" w14:textId="77777777" w:rsidR="001F61CD" w:rsidRPr="00AF137C" w:rsidRDefault="001F61CD" w:rsidP="0069729F">
      <w:pPr>
        <w:spacing w:after="0"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val="es-CO" w:eastAsia="es-ES"/>
        </w:rPr>
        <w:t>Subdirector de Gestión Normativa y Doctrina (E)</w:t>
      </w:r>
    </w:p>
    <w:p w14:paraId="142618A1" w14:textId="2B9FF99B" w:rsidR="001F61CD" w:rsidRDefault="001F61CD" w:rsidP="0069729F">
      <w:pPr>
        <w:spacing w:after="0" w:line="360" w:lineRule="auto"/>
        <w:jc w:val="both"/>
        <w:rPr>
          <w:rFonts w:ascii="Times New Roman" w:eastAsia="Times New Roman" w:hAnsi="Times New Roman" w:cs="Times New Roman"/>
          <w:sz w:val="24"/>
          <w:szCs w:val="24"/>
          <w:lang w:val="es-CO" w:eastAsia="es-ES"/>
        </w:rPr>
      </w:pPr>
      <w:r w:rsidRPr="00AF137C">
        <w:rPr>
          <w:rFonts w:ascii="Times New Roman" w:eastAsia="Times New Roman" w:hAnsi="Times New Roman" w:cs="Times New Roman"/>
          <w:sz w:val="24"/>
          <w:szCs w:val="24"/>
          <w:lang w:val="es-CO" w:eastAsia="es-ES"/>
        </w:rPr>
        <w:t>Dirección de Gestión Jurídica</w:t>
      </w:r>
      <w:r w:rsidR="00AF137C">
        <w:rPr>
          <w:rFonts w:ascii="Times New Roman" w:eastAsia="Times New Roman" w:hAnsi="Times New Roman" w:cs="Times New Roman"/>
          <w:sz w:val="24"/>
          <w:szCs w:val="24"/>
          <w:lang w:val="es-CO" w:eastAsia="es-ES"/>
        </w:rPr>
        <w:t>.</w:t>
      </w:r>
    </w:p>
    <w:p w14:paraId="33377D76" w14:textId="4E9701AF" w:rsidR="00AF137C" w:rsidRPr="00AF137C" w:rsidRDefault="00AF137C" w:rsidP="0069729F">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val="es-CO" w:eastAsia="es-ES"/>
        </w:rPr>
        <w:t>_____________________________________________________________________________</w:t>
      </w:r>
    </w:p>
    <w:p w14:paraId="148B9FC0" w14:textId="77777777" w:rsidR="001F61CD" w:rsidRPr="00AF137C" w:rsidRDefault="001F61CD" w:rsidP="0069729F">
      <w:pPr>
        <w:spacing w:after="285" w:line="360" w:lineRule="auto"/>
        <w:jc w:val="both"/>
        <w:rPr>
          <w:rFonts w:ascii="Times New Roman" w:eastAsia="Times New Roman" w:hAnsi="Times New Roman" w:cs="Times New Roman"/>
          <w:sz w:val="24"/>
          <w:szCs w:val="24"/>
          <w:lang w:eastAsia="es-ES"/>
        </w:rPr>
      </w:pPr>
      <w:r w:rsidRPr="00AF137C">
        <w:rPr>
          <w:rFonts w:ascii="Times New Roman" w:eastAsia="Times New Roman" w:hAnsi="Times New Roman" w:cs="Times New Roman"/>
          <w:sz w:val="24"/>
          <w:szCs w:val="24"/>
          <w:lang w:eastAsia="es-ES"/>
        </w:rPr>
        <w:t> </w:t>
      </w:r>
    </w:p>
    <w:sectPr w:rsidR="001F61CD" w:rsidRPr="00AF137C" w:rsidSect="00AF137C">
      <w:headerReference w:type="default" r:id="rId16"/>
      <w:type w:val="continuous"/>
      <w:pgSz w:w="12240" w:h="15840" w:code="1"/>
      <w:pgMar w:top="1134" w:right="1134" w:bottom="1134" w:left="1701"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E9090" w14:textId="77777777" w:rsidR="00936037" w:rsidRDefault="00936037" w:rsidP="00726C7D">
      <w:pPr>
        <w:spacing w:after="0" w:line="240" w:lineRule="auto"/>
      </w:pPr>
      <w:r>
        <w:separator/>
      </w:r>
    </w:p>
  </w:endnote>
  <w:endnote w:type="continuationSeparator" w:id="0">
    <w:p w14:paraId="355B58B5" w14:textId="77777777" w:rsidR="00936037" w:rsidRDefault="00936037" w:rsidP="00726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22F06" w14:textId="77777777" w:rsidR="00936037" w:rsidRDefault="00936037" w:rsidP="00726C7D">
      <w:pPr>
        <w:spacing w:after="0" w:line="240" w:lineRule="auto"/>
      </w:pPr>
      <w:r>
        <w:separator/>
      </w:r>
    </w:p>
  </w:footnote>
  <w:footnote w:type="continuationSeparator" w:id="0">
    <w:p w14:paraId="605606D3" w14:textId="77777777" w:rsidR="00936037" w:rsidRDefault="00936037" w:rsidP="00726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7286494"/>
      <w:docPartObj>
        <w:docPartGallery w:val="Page Numbers (Top of Page)"/>
        <w:docPartUnique/>
      </w:docPartObj>
    </w:sdtPr>
    <w:sdtEndPr/>
    <w:sdtContent>
      <w:p w14:paraId="2D8BDF82" w14:textId="27B3AEF0" w:rsidR="00726C7D" w:rsidRDefault="00726C7D">
        <w:pPr>
          <w:pStyle w:val="Encabezado"/>
          <w:jc w:val="right"/>
        </w:pPr>
        <w:r>
          <w:fldChar w:fldCharType="begin"/>
        </w:r>
        <w:r>
          <w:instrText>PAGE   \* MERGEFORMAT</w:instrText>
        </w:r>
        <w:r>
          <w:fldChar w:fldCharType="separate"/>
        </w:r>
        <w:r>
          <w:t>2</w:t>
        </w:r>
        <w:r>
          <w:fldChar w:fldCharType="end"/>
        </w:r>
      </w:p>
    </w:sdtContent>
  </w:sdt>
  <w:p w14:paraId="7FC7D08E" w14:textId="77777777" w:rsidR="00726C7D" w:rsidRDefault="00726C7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1CD"/>
    <w:rsid w:val="001D607A"/>
    <w:rsid w:val="001E311E"/>
    <w:rsid w:val="001F61CD"/>
    <w:rsid w:val="00434AE6"/>
    <w:rsid w:val="0069729F"/>
    <w:rsid w:val="00726C7D"/>
    <w:rsid w:val="007E0C5C"/>
    <w:rsid w:val="007F5CC8"/>
    <w:rsid w:val="008779BE"/>
    <w:rsid w:val="008D042A"/>
    <w:rsid w:val="00936037"/>
    <w:rsid w:val="00AF137C"/>
    <w:rsid w:val="00BE3F57"/>
    <w:rsid w:val="00F6615C"/>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0FFF1"/>
  <w15:chartTrackingRefBased/>
  <w15:docId w15:val="{EC7152AA-D49C-493A-828B-A6C01329C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26C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6C7D"/>
    <w:rPr>
      <w:rFonts w:ascii="Segoe UI" w:hAnsi="Segoe UI" w:cs="Segoe UI"/>
      <w:sz w:val="18"/>
      <w:szCs w:val="18"/>
    </w:rPr>
  </w:style>
  <w:style w:type="paragraph" w:styleId="Encabezado">
    <w:name w:val="header"/>
    <w:basedOn w:val="Normal"/>
    <w:link w:val="EncabezadoCar"/>
    <w:uiPriority w:val="99"/>
    <w:unhideWhenUsed/>
    <w:rsid w:val="00726C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6C7D"/>
  </w:style>
  <w:style w:type="paragraph" w:styleId="Piedepgina">
    <w:name w:val="footer"/>
    <w:basedOn w:val="Normal"/>
    <w:link w:val="PiedepginaCar"/>
    <w:uiPriority w:val="99"/>
    <w:unhideWhenUsed/>
    <w:rsid w:val="00726C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6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2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736" TargetMode="External"/><Relationship Id="rId13" Type="http://schemas.openxmlformats.org/officeDocument/2006/relationships/hyperlink" Target="https://www.ceta.org.co/html/vista_de_un_articulo.asp?Norma=89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eta.org.co/html/vista_de_un_articulo.asp?Norma=736" TargetMode="External"/><Relationship Id="rId12" Type="http://schemas.openxmlformats.org/officeDocument/2006/relationships/hyperlink" Target="https://www.ceta.org.co/html/vista_de_un_articulo.asp?Norma=736"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ceta.org.co/html/vista_de_un_articulo.asp?Norma=1064" TargetMode="External"/><Relationship Id="rId11" Type="http://schemas.openxmlformats.org/officeDocument/2006/relationships/hyperlink" Target="https://www.ceta.org.co/html/vista_de_un_articulo.asp?Norma=746" TargetMode="External"/><Relationship Id="rId5" Type="http://schemas.openxmlformats.org/officeDocument/2006/relationships/endnotes" Target="endnotes.xml"/><Relationship Id="rId15" Type="http://schemas.openxmlformats.org/officeDocument/2006/relationships/hyperlink" Target="https://www.ceta.org.co/html/vista_de_un_articulo.asp?Norma=1058" TargetMode="External"/><Relationship Id="rId10" Type="http://schemas.openxmlformats.org/officeDocument/2006/relationships/hyperlink" Target="https://www.ceta.org.co/html/vista_de_un_articulo.asp?Norma=746" TargetMode="External"/><Relationship Id="rId4" Type="http://schemas.openxmlformats.org/officeDocument/2006/relationships/footnotes" Target="footnotes.xml"/><Relationship Id="rId9" Type="http://schemas.openxmlformats.org/officeDocument/2006/relationships/hyperlink" Target="https://www.ceta.org.co/html/vista_de_un_articulo.asp?Norma=746" TargetMode="External"/><Relationship Id="rId14" Type="http://schemas.openxmlformats.org/officeDocument/2006/relationships/hyperlink" Target="https://www.ceta.org.co/html/vista_de_un_articulo.asp?Norma=89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1444</Words>
  <Characters>7943</Characters>
  <Application>Microsoft Office Word</Application>
  <DocSecurity>0</DocSecurity>
  <Lines>66</Lines>
  <Paragraphs>18</Paragraphs>
  <ScaleCrop>false</ScaleCrop>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2</cp:revision>
  <cp:lastPrinted>2020-02-23T21:49:00Z</cp:lastPrinted>
  <dcterms:created xsi:type="dcterms:W3CDTF">2020-06-21T22:51:00Z</dcterms:created>
  <dcterms:modified xsi:type="dcterms:W3CDTF">2020-06-21T22:51:00Z</dcterms:modified>
</cp:coreProperties>
</file>