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0BA0" w14:textId="77777777" w:rsidR="00C265F8" w:rsidRPr="00C265F8" w:rsidRDefault="00C265F8" w:rsidP="00C265F8">
      <w:pPr>
        <w:spacing w:after="0" w:line="360" w:lineRule="auto"/>
        <w:jc w:val="center"/>
        <w:rPr>
          <w:rFonts w:eastAsia="Times New Roman" w:cs="Times New Roman"/>
          <w:b/>
          <w:bCs/>
          <w:color w:val="000000"/>
          <w:szCs w:val="24"/>
          <w:lang w:eastAsia="es-CO"/>
        </w:rPr>
      </w:pPr>
      <w:r w:rsidRPr="00C265F8">
        <w:rPr>
          <w:rFonts w:eastAsia="Times New Roman" w:cs="Times New Roman"/>
          <w:b/>
          <w:bCs/>
          <w:color w:val="0000FF"/>
          <w:szCs w:val="24"/>
          <w:lang w:eastAsia="es-CO"/>
        </w:rPr>
        <w:t xml:space="preserve">OFICIO </w:t>
      </w:r>
      <w:proofErr w:type="spellStart"/>
      <w:r w:rsidRPr="00C265F8">
        <w:rPr>
          <w:rFonts w:eastAsia="Times New Roman" w:cs="Times New Roman"/>
          <w:b/>
          <w:bCs/>
          <w:color w:val="0000FF"/>
          <w:szCs w:val="24"/>
          <w:lang w:eastAsia="es-CO"/>
        </w:rPr>
        <w:t>Nº</w:t>
      </w:r>
      <w:proofErr w:type="spellEnd"/>
      <w:r w:rsidRPr="00C265F8">
        <w:rPr>
          <w:rFonts w:eastAsia="Times New Roman" w:cs="Times New Roman"/>
          <w:b/>
          <w:bCs/>
          <w:color w:val="0000FF"/>
          <w:szCs w:val="24"/>
          <w:lang w:eastAsia="es-CO"/>
        </w:rPr>
        <w:t xml:space="preserve"> 221 [901344]</w:t>
      </w:r>
    </w:p>
    <w:p w14:paraId="69D9CE17" w14:textId="77777777" w:rsidR="00C265F8" w:rsidRPr="00C265F8" w:rsidRDefault="00C265F8" w:rsidP="00C265F8">
      <w:pPr>
        <w:spacing w:after="0" w:line="360" w:lineRule="auto"/>
        <w:jc w:val="center"/>
        <w:rPr>
          <w:rFonts w:eastAsia="Times New Roman" w:cs="Times New Roman"/>
          <w:b/>
          <w:bCs/>
          <w:color w:val="000000"/>
          <w:szCs w:val="24"/>
          <w:lang w:eastAsia="es-CO"/>
        </w:rPr>
      </w:pPr>
      <w:r w:rsidRPr="00C265F8">
        <w:rPr>
          <w:rFonts w:eastAsia="Times New Roman" w:cs="Times New Roman"/>
          <w:b/>
          <w:bCs/>
          <w:color w:val="0000FF"/>
          <w:szCs w:val="24"/>
          <w:lang w:eastAsia="es-CO"/>
        </w:rPr>
        <w:t>22-02-2022</w:t>
      </w:r>
    </w:p>
    <w:p w14:paraId="63C447CE" w14:textId="77777777" w:rsidR="00C265F8" w:rsidRPr="00C265F8" w:rsidRDefault="00C265F8" w:rsidP="00C265F8">
      <w:pPr>
        <w:spacing w:after="0" w:line="360" w:lineRule="auto"/>
        <w:jc w:val="center"/>
        <w:rPr>
          <w:rFonts w:eastAsia="Times New Roman" w:cs="Times New Roman"/>
          <w:b/>
          <w:bCs/>
          <w:color w:val="000000"/>
          <w:szCs w:val="24"/>
          <w:lang w:eastAsia="es-CO"/>
        </w:rPr>
      </w:pPr>
      <w:r w:rsidRPr="00C265F8">
        <w:rPr>
          <w:rFonts w:eastAsia="Times New Roman" w:cs="Times New Roman"/>
          <w:b/>
          <w:bCs/>
          <w:color w:val="0000FF"/>
          <w:szCs w:val="24"/>
          <w:lang w:eastAsia="es-CO"/>
        </w:rPr>
        <w:t>DIAN</w:t>
      </w:r>
    </w:p>
    <w:p w14:paraId="7C03A8E9"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3373F53F"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02943C72"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Subdirección de Normativa y Doctrina</w:t>
      </w:r>
    </w:p>
    <w:p w14:paraId="0BDF8AA1"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100208192-221</w:t>
      </w:r>
    </w:p>
    <w:p w14:paraId="19D5F239"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Bogotá, D.C.</w:t>
      </w:r>
    </w:p>
    <w:p w14:paraId="3FBA33DD"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1949"/>
        <w:gridCol w:w="276"/>
        <w:gridCol w:w="276"/>
        <w:gridCol w:w="6539"/>
      </w:tblGrid>
      <w:tr w:rsidR="00C265F8" w:rsidRPr="00C265F8" w14:paraId="68E5EC94" w14:textId="77777777" w:rsidTr="00C265F8">
        <w:tc>
          <w:tcPr>
            <w:tcW w:w="1949" w:type="dxa"/>
            <w:tcBorders>
              <w:top w:val="nil"/>
              <w:left w:val="nil"/>
              <w:bottom w:val="nil"/>
              <w:right w:val="nil"/>
            </w:tcBorders>
            <w:shd w:val="clear" w:color="auto" w:fill="auto"/>
            <w:tcMar>
              <w:top w:w="0" w:type="dxa"/>
              <w:left w:w="108" w:type="dxa"/>
              <w:bottom w:w="0" w:type="dxa"/>
              <w:right w:w="108" w:type="dxa"/>
            </w:tcMar>
            <w:hideMark/>
          </w:tcPr>
          <w:p w14:paraId="65647498"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9D9E281"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6D34F4D"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 </w:t>
            </w:r>
          </w:p>
        </w:tc>
        <w:tc>
          <w:tcPr>
            <w:tcW w:w="6539" w:type="dxa"/>
            <w:tcBorders>
              <w:top w:val="nil"/>
              <w:left w:val="nil"/>
              <w:bottom w:val="nil"/>
              <w:right w:val="nil"/>
            </w:tcBorders>
            <w:shd w:val="clear" w:color="auto" w:fill="auto"/>
            <w:tcMar>
              <w:top w:w="0" w:type="dxa"/>
              <w:left w:w="108" w:type="dxa"/>
              <w:bottom w:w="0" w:type="dxa"/>
              <w:right w:w="108" w:type="dxa"/>
            </w:tcMar>
            <w:hideMark/>
          </w:tcPr>
          <w:p w14:paraId="4395E7AF"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Retención en la fuente</w:t>
            </w:r>
          </w:p>
        </w:tc>
      </w:tr>
      <w:tr w:rsidR="00C265F8" w:rsidRPr="00C265F8" w14:paraId="68182167" w14:textId="77777777" w:rsidTr="00C265F8">
        <w:tc>
          <w:tcPr>
            <w:tcW w:w="1949" w:type="dxa"/>
            <w:tcBorders>
              <w:top w:val="nil"/>
              <w:left w:val="nil"/>
              <w:bottom w:val="nil"/>
              <w:right w:val="nil"/>
            </w:tcBorders>
            <w:shd w:val="clear" w:color="auto" w:fill="auto"/>
            <w:tcMar>
              <w:top w:w="0" w:type="dxa"/>
              <w:left w:w="108" w:type="dxa"/>
              <w:bottom w:w="0" w:type="dxa"/>
              <w:right w:w="108" w:type="dxa"/>
            </w:tcMar>
            <w:hideMark/>
          </w:tcPr>
          <w:p w14:paraId="57B1D8F5"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CDD1E1F"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9D9736A"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 </w:t>
            </w:r>
          </w:p>
        </w:tc>
        <w:tc>
          <w:tcPr>
            <w:tcW w:w="6539" w:type="dxa"/>
            <w:tcBorders>
              <w:top w:val="nil"/>
              <w:left w:val="nil"/>
              <w:bottom w:val="nil"/>
              <w:right w:val="nil"/>
            </w:tcBorders>
            <w:shd w:val="clear" w:color="auto" w:fill="auto"/>
            <w:tcMar>
              <w:top w:w="0" w:type="dxa"/>
              <w:left w:w="108" w:type="dxa"/>
              <w:bottom w:w="0" w:type="dxa"/>
              <w:right w:w="108" w:type="dxa"/>
            </w:tcMar>
            <w:hideMark/>
          </w:tcPr>
          <w:p w14:paraId="162D6F6B"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Causación de la retención</w:t>
            </w:r>
          </w:p>
        </w:tc>
      </w:tr>
      <w:tr w:rsidR="00C265F8" w:rsidRPr="00C265F8" w14:paraId="17A8B375" w14:textId="77777777" w:rsidTr="00C265F8">
        <w:tc>
          <w:tcPr>
            <w:tcW w:w="1949" w:type="dxa"/>
            <w:tcBorders>
              <w:top w:val="nil"/>
              <w:left w:val="nil"/>
              <w:bottom w:val="nil"/>
              <w:right w:val="nil"/>
            </w:tcBorders>
            <w:shd w:val="clear" w:color="auto" w:fill="auto"/>
            <w:tcMar>
              <w:top w:w="0" w:type="dxa"/>
              <w:left w:w="108" w:type="dxa"/>
              <w:bottom w:w="0" w:type="dxa"/>
              <w:right w:w="108" w:type="dxa"/>
            </w:tcMar>
            <w:hideMark/>
          </w:tcPr>
          <w:p w14:paraId="00C65BD7"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4BDFE67"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7D59136"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 </w:t>
            </w:r>
          </w:p>
        </w:tc>
        <w:tc>
          <w:tcPr>
            <w:tcW w:w="6539" w:type="dxa"/>
            <w:tcBorders>
              <w:top w:val="nil"/>
              <w:left w:val="nil"/>
              <w:bottom w:val="nil"/>
              <w:right w:val="nil"/>
            </w:tcBorders>
            <w:shd w:val="clear" w:color="auto" w:fill="auto"/>
            <w:tcMar>
              <w:top w:w="0" w:type="dxa"/>
              <w:left w:w="108" w:type="dxa"/>
              <w:bottom w:w="0" w:type="dxa"/>
              <w:right w:w="108" w:type="dxa"/>
            </w:tcMar>
            <w:hideMark/>
          </w:tcPr>
          <w:p w14:paraId="773070BF"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Artículo 1625 del Código Civil</w:t>
            </w:r>
          </w:p>
          <w:p w14:paraId="18624F11"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Artículos </w:t>
            </w:r>
            <w:hyperlink r:id="rId4" w:tooltip="Estatuto Tributario CETA" w:history="1">
              <w:r w:rsidRPr="00C265F8">
                <w:rPr>
                  <w:rFonts w:eastAsia="Times New Roman" w:cs="Times New Roman"/>
                  <w:color w:val="0089E1"/>
                  <w:szCs w:val="24"/>
                  <w:lang w:eastAsia="es-CO"/>
                </w:rPr>
                <w:t>26</w:t>
              </w:r>
            </w:hyperlink>
            <w:r w:rsidRPr="00C265F8">
              <w:rPr>
                <w:rFonts w:eastAsia="Times New Roman" w:cs="Times New Roman"/>
                <w:szCs w:val="24"/>
                <w:lang w:eastAsia="es-CO"/>
              </w:rPr>
              <w:t>, </w:t>
            </w:r>
            <w:hyperlink r:id="rId5" w:tooltip="Estatuto Tributario CETA" w:history="1">
              <w:r w:rsidRPr="00C265F8">
                <w:rPr>
                  <w:rFonts w:eastAsia="Times New Roman" w:cs="Times New Roman"/>
                  <w:color w:val="0089E1"/>
                  <w:szCs w:val="24"/>
                  <w:lang w:eastAsia="es-CO"/>
                </w:rPr>
                <w:t>127-1</w:t>
              </w:r>
            </w:hyperlink>
            <w:r w:rsidRPr="00C265F8">
              <w:rPr>
                <w:rFonts w:eastAsia="Times New Roman" w:cs="Times New Roman"/>
                <w:szCs w:val="24"/>
                <w:lang w:eastAsia="es-CO"/>
              </w:rPr>
              <w:t> y </w:t>
            </w:r>
            <w:hyperlink r:id="rId6" w:tooltip="Estatuto Tributario CETA" w:history="1">
              <w:r w:rsidRPr="00C265F8">
                <w:rPr>
                  <w:rFonts w:eastAsia="Times New Roman" w:cs="Times New Roman"/>
                  <w:color w:val="0089E1"/>
                  <w:szCs w:val="24"/>
                  <w:lang w:eastAsia="es-CO"/>
                </w:rPr>
                <w:t>401</w:t>
              </w:r>
            </w:hyperlink>
            <w:r w:rsidRPr="00C265F8">
              <w:rPr>
                <w:rFonts w:eastAsia="Times New Roman" w:cs="Times New Roman"/>
                <w:szCs w:val="24"/>
                <w:lang w:eastAsia="es-CO"/>
              </w:rPr>
              <w:t> del Estatuto Tributario</w:t>
            </w:r>
          </w:p>
          <w:p w14:paraId="0E800670"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Artículo 1.2.4.9.1. del Decreto 1625 de 2016</w:t>
            </w:r>
          </w:p>
          <w:p w14:paraId="6083A032"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Corte Suprema de Justicia, Sala de Casación Civil, M.P. Luis Armando Tolosa Villabona, Sentencia STC8034-2017, Radicación 11001-22-10-000-2017-00252-01</w:t>
            </w:r>
          </w:p>
          <w:p w14:paraId="34A59022"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Corte Suprema de Justicia, Sala de Casación Civil, M.P. Luis Armando Tolosa Villabona, Sentencia SC5185-2020, Radicación 11001-31-03-001-2016-00214-01</w:t>
            </w:r>
          </w:p>
          <w:p w14:paraId="4E972664" w14:textId="77777777" w:rsidR="00C265F8" w:rsidRPr="00C265F8" w:rsidRDefault="00C265F8" w:rsidP="00C265F8">
            <w:pPr>
              <w:spacing w:after="0" w:line="360" w:lineRule="auto"/>
              <w:jc w:val="both"/>
              <w:rPr>
                <w:rFonts w:eastAsia="Times New Roman" w:cs="Times New Roman"/>
                <w:szCs w:val="24"/>
                <w:lang w:eastAsia="es-CO"/>
              </w:rPr>
            </w:pPr>
            <w:r w:rsidRPr="00C265F8">
              <w:rPr>
                <w:rFonts w:eastAsia="Times New Roman" w:cs="Times New Roman"/>
                <w:szCs w:val="24"/>
                <w:lang w:eastAsia="es-CO"/>
              </w:rPr>
              <w:t>Corte Constitucional, M.P. LUIS ERNESTO VARGAS SILVA, Sentencia T-323/14.</w:t>
            </w:r>
          </w:p>
        </w:tc>
      </w:tr>
    </w:tbl>
    <w:p w14:paraId="3DF93CE9"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1DA29355"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00FAF1CF"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Cordial saludo,</w:t>
      </w:r>
    </w:p>
    <w:p w14:paraId="361B4214"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4EC2D5BA"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38E2B6C"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20248276"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Mediante el radicado de la referencia, el peticionario solicita se confirme si las siguientes interpretaciones en materia de retención en la fuente -que serán examinadas por esta Subdirección cada una a su turno- son correctas:</w:t>
      </w:r>
    </w:p>
    <w:p w14:paraId="33ADB37F"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b/>
          <w:bCs/>
          <w:color w:val="000000"/>
          <w:szCs w:val="24"/>
          <w:lang w:eastAsia="es-CO"/>
        </w:rPr>
        <w:t> </w:t>
      </w:r>
    </w:p>
    <w:p w14:paraId="29CBE5AE"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b/>
          <w:bCs/>
          <w:color w:val="000000"/>
          <w:szCs w:val="24"/>
          <w:highlight w:val="yellow"/>
          <w:lang w:eastAsia="es-CO"/>
        </w:rPr>
        <w:t xml:space="preserve">1. Cuando se ejerce la opción de compra en los contratos de leasing y cuando se realiza la cesión de </w:t>
      </w:r>
      <w:proofErr w:type="gramStart"/>
      <w:r w:rsidRPr="00C265F8">
        <w:rPr>
          <w:rFonts w:eastAsia="Times New Roman" w:cs="Times New Roman"/>
          <w:b/>
          <w:bCs/>
          <w:color w:val="000000"/>
          <w:szCs w:val="24"/>
          <w:highlight w:val="yellow"/>
          <w:lang w:eastAsia="es-CO"/>
        </w:rPr>
        <w:t>los mismos</w:t>
      </w:r>
      <w:proofErr w:type="gramEnd"/>
      <w:r w:rsidRPr="00C265F8">
        <w:rPr>
          <w:rFonts w:eastAsia="Times New Roman" w:cs="Times New Roman"/>
          <w:b/>
          <w:bCs/>
          <w:color w:val="000000"/>
          <w:szCs w:val="24"/>
          <w:highlight w:val="yellow"/>
          <w:lang w:eastAsia="es-CO"/>
        </w:rPr>
        <w:t xml:space="preserve"> por compra de cartera</w:t>
      </w:r>
    </w:p>
    <w:p w14:paraId="0E371630"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b/>
          <w:bCs/>
          <w:color w:val="000000"/>
          <w:szCs w:val="24"/>
          <w:lang w:eastAsia="es-CO"/>
        </w:rPr>
        <w:lastRenderedPageBreak/>
        <w:t> </w:t>
      </w:r>
    </w:p>
    <w:p w14:paraId="725AD7F9"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b/>
          <w:bCs/>
          <w:color w:val="000000"/>
          <w:szCs w:val="24"/>
          <w:lang w:eastAsia="es-CO"/>
        </w:rPr>
        <w:t>1.1. </w:t>
      </w:r>
      <w:r w:rsidRPr="00C265F8">
        <w:rPr>
          <w:rFonts w:eastAsia="Times New Roman" w:cs="Times New Roman"/>
          <w:b/>
          <w:bCs/>
          <w:i/>
          <w:iCs/>
          <w:color w:val="000000"/>
          <w:szCs w:val="24"/>
          <w:lang w:eastAsia="es-CO"/>
        </w:rPr>
        <w:t>“En caso de que la entidad financiera arrendadora en un contrato de leasing financiero certifique que el valor de la opción de adquisición en el respectivo contrato corresponde al valor residual teórico del capital invertido en la compra del bien, </w:t>
      </w:r>
      <w:r w:rsidRPr="00C265F8">
        <w:rPr>
          <w:rFonts w:eastAsia="Times New Roman" w:cs="Times New Roman"/>
          <w:b/>
          <w:bCs/>
          <w:i/>
          <w:iCs/>
          <w:color w:val="000000"/>
          <w:szCs w:val="24"/>
          <w:u w:val="single"/>
          <w:lang w:eastAsia="es-CO"/>
        </w:rPr>
        <w:t>no es aplicable la retención en la fuente de que se trata en el artículo 1.2.4.9.1. del Decreto 1625 de 2016 y, por lo tanto, no es procedente la aplicación del parágrafo del </w:t>
      </w:r>
      <w:hyperlink r:id="rId7" w:tooltip="Estatuto Tributario CETA" w:history="1">
        <w:r w:rsidRPr="00C265F8">
          <w:rPr>
            <w:rFonts w:eastAsia="Times New Roman" w:cs="Times New Roman"/>
            <w:b/>
            <w:bCs/>
            <w:i/>
            <w:iCs/>
            <w:color w:val="0089E1"/>
            <w:szCs w:val="24"/>
            <w:lang w:eastAsia="es-CO"/>
          </w:rPr>
          <w:t>artículo 401</w:t>
        </w:r>
      </w:hyperlink>
      <w:r w:rsidRPr="00C265F8">
        <w:rPr>
          <w:rFonts w:eastAsia="Times New Roman" w:cs="Times New Roman"/>
          <w:b/>
          <w:bCs/>
          <w:i/>
          <w:iCs/>
          <w:color w:val="000000"/>
          <w:szCs w:val="24"/>
          <w:u w:val="single"/>
          <w:lang w:eastAsia="es-CO"/>
        </w:rPr>
        <w:t> del E.T</w:t>
      </w:r>
      <w:r w:rsidRPr="00C265F8">
        <w:rPr>
          <w:rFonts w:eastAsia="Times New Roman" w:cs="Times New Roman"/>
          <w:b/>
          <w:bCs/>
          <w:i/>
          <w:iCs/>
          <w:color w:val="000000"/>
          <w:szCs w:val="24"/>
          <w:lang w:eastAsia="es-CO"/>
        </w:rPr>
        <w:t>., razón por la cual </w:t>
      </w:r>
      <w:r w:rsidRPr="00C265F8">
        <w:rPr>
          <w:rFonts w:eastAsia="Times New Roman" w:cs="Times New Roman"/>
          <w:b/>
          <w:bCs/>
          <w:i/>
          <w:iCs/>
          <w:color w:val="000000"/>
          <w:szCs w:val="24"/>
          <w:u w:val="single"/>
          <w:lang w:eastAsia="es-CO"/>
        </w:rPr>
        <w:t>los notarios no deben exigir la presentación del recibo de pago de la retención en la fuente, para autorizar la escritura pública por la cual se ejerce la opción de adquisición del bien inmueble</w:t>
      </w:r>
      <w:r w:rsidRPr="00C265F8">
        <w:rPr>
          <w:rFonts w:eastAsia="Times New Roman" w:cs="Times New Roman"/>
          <w:b/>
          <w:bCs/>
          <w:i/>
          <w:iCs/>
          <w:color w:val="000000"/>
          <w:szCs w:val="24"/>
          <w:lang w:eastAsia="es-CO"/>
        </w:rPr>
        <w:t> dado en leasing o arrendamiento financiero”. </w:t>
      </w:r>
      <w:r w:rsidRPr="00C265F8">
        <w:rPr>
          <w:rFonts w:eastAsia="Times New Roman" w:cs="Times New Roman"/>
          <w:b/>
          <w:bCs/>
          <w:color w:val="000000"/>
          <w:szCs w:val="24"/>
          <w:lang w:eastAsia="es-CO"/>
        </w:rPr>
        <w:t>(Subrayado fuera de texto).</w:t>
      </w:r>
    </w:p>
    <w:p w14:paraId="221C4F90"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33251491"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Del </w:t>
      </w:r>
      <w:hyperlink r:id="rId8" w:tooltip="Estatuto Tributario CETA" w:history="1">
        <w:r w:rsidRPr="00C265F8">
          <w:rPr>
            <w:rFonts w:eastAsia="Times New Roman" w:cs="Times New Roman"/>
            <w:color w:val="0089E1"/>
            <w:szCs w:val="24"/>
            <w:lang w:eastAsia="es-CO"/>
          </w:rPr>
          <w:t>artículo 127-1</w:t>
        </w:r>
      </w:hyperlink>
      <w:r w:rsidRPr="00C265F8">
        <w:rPr>
          <w:rFonts w:eastAsia="Times New Roman" w:cs="Times New Roman"/>
          <w:color w:val="000000"/>
          <w:szCs w:val="24"/>
          <w:lang w:eastAsia="es-CO"/>
        </w:rPr>
        <w:t> del Estatuto Tributario se extraen las siguientes reglas, aplicables a todo contrato de arrendamiento financiero celebrado a partir del 1° de enero de 2017:</w:t>
      </w:r>
    </w:p>
    <w:p w14:paraId="3092BC91"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0858E1DE"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color w:val="000000"/>
          <w:szCs w:val="24"/>
          <w:lang w:eastAsia="es-CO"/>
        </w:rPr>
        <w:t>·           Para el arrendador financiero son ingresos gravados con el impuesto sobre la renta </w:t>
      </w:r>
      <w:r w:rsidRPr="00C265F8">
        <w:rPr>
          <w:rFonts w:eastAsia="Times New Roman" w:cs="Times New Roman"/>
          <w:i/>
          <w:iCs/>
          <w:color w:val="000000"/>
          <w:szCs w:val="24"/>
          <w:lang w:eastAsia="es-CO"/>
        </w:rPr>
        <w:t>“los ingresos financieros procedentes del activo por arrendamiento, así como los demás ingresos que se deriven del contrato” </w:t>
      </w:r>
      <w:r w:rsidRPr="00C265F8">
        <w:rPr>
          <w:rFonts w:eastAsia="Times New Roman" w:cs="Times New Roman"/>
          <w:color w:val="000000"/>
          <w:szCs w:val="24"/>
          <w:lang w:eastAsia="es-CO"/>
        </w:rPr>
        <w:t xml:space="preserve">(cfr. numeral </w:t>
      </w:r>
      <w:proofErr w:type="spellStart"/>
      <w:r w:rsidRPr="00C265F8">
        <w:rPr>
          <w:rFonts w:eastAsia="Times New Roman" w:cs="Times New Roman"/>
          <w:color w:val="000000"/>
          <w:szCs w:val="24"/>
          <w:lang w:eastAsia="es-CO"/>
        </w:rPr>
        <w:t>ii</w:t>
      </w:r>
      <w:proofErr w:type="spellEnd"/>
      <w:r w:rsidRPr="00C265F8">
        <w:rPr>
          <w:rFonts w:eastAsia="Times New Roman" w:cs="Times New Roman"/>
          <w:color w:val="000000"/>
          <w:szCs w:val="24"/>
          <w:lang w:eastAsia="es-CO"/>
        </w:rPr>
        <w:t>) del literal a) del numeral 2).</w:t>
      </w:r>
    </w:p>
    <w:p w14:paraId="54DDB74C"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58CDBA8C"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color w:val="000000"/>
          <w:szCs w:val="24"/>
          <w:lang w:eastAsia="es-CO"/>
        </w:rPr>
        <w:t>·        </w:t>
      </w:r>
      <w:proofErr w:type="gramStart"/>
      <w:r w:rsidRPr="00C265F8">
        <w:rPr>
          <w:rFonts w:eastAsia="Times New Roman" w:cs="Times New Roman"/>
          <w:color w:val="000000"/>
          <w:szCs w:val="24"/>
          <w:lang w:eastAsia="es-CO"/>
        </w:rPr>
        <w:t>   </w:t>
      </w:r>
      <w:r w:rsidRPr="00C265F8">
        <w:rPr>
          <w:rFonts w:eastAsia="Times New Roman" w:cs="Times New Roman"/>
          <w:i/>
          <w:iCs/>
          <w:color w:val="000000"/>
          <w:szCs w:val="24"/>
          <w:lang w:eastAsia="es-CO"/>
        </w:rPr>
        <w:t>“</w:t>
      </w:r>
      <w:proofErr w:type="gramEnd"/>
      <w:r w:rsidRPr="00C265F8">
        <w:rPr>
          <w:rFonts w:eastAsia="Times New Roman" w:cs="Times New Roman"/>
          <w:i/>
          <w:iCs/>
          <w:color w:val="000000"/>
          <w:szCs w:val="24"/>
          <w:lang w:eastAsia="es-CO"/>
        </w:rPr>
        <w:t>Los cánones de arrendamiento causados a cargo del arrendatario, deberán descomponerse en la parte que corresponda a abono a capital y la parte que corresponda a intereses o costo financiero. </w:t>
      </w:r>
      <w:r w:rsidRPr="00C265F8">
        <w:rPr>
          <w:rFonts w:eastAsia="Times New Roman" w:cs="Times New Roman"/>
          <w:i/>
          <w:iCs/>
          <w:color w:val="000000"/>
          <w:szCs w:val="24"/>
          <w:u w:val="single"/>
          <w:lang w:eastAsia="es-CO"/>
        </w:rPr>
        <w:t xml:space="preserve">La parte correspondiente a abonos de </w:t>
      </w:r>
      <w:proofErr w:type="gramStart"/>
      <w:r w:rsidRPr="00C265F8">
        <w:rPr>
          <w:rFonts w:eastAsia="Times New Roman" w:cs="Times New Roman"/>
          <w:i/>
          <w:iCs/>
          <w:color w:val="000000"/>
          <w:szCs w:val="24"/>
          <w:u w:val="single"/>
          <w:lang w:eastAsia="es-CO"/>
        </w:rPr>
        <w:t>capital,</w:t>
      </w:r>
      <w:proofErr w:type="gramEnd"/>
      <w:r w:rsidRPr="00C265F8">
        <w:rPr>
          <w:rFonts w:eastAsia="Times New Roman" w:cs="Times New Roman"/>
          <w:i/>
          <w:iCs/>
          <w:color w:val="000000"/>
          <w:szCs w:val="24"/>
          <w:u w:val="single"/>
          <w:lang w:eastAsia="es-CO"/>
        </w:rPr>
        <w:t xml:space="preserve"> se cargará directamente contra el pasivo registrado por el arrendatario</w:t>
      </w:r>
      <w:r w:rsidRPr="00C265F8">
        <w:rPr>
          <w:rFonts w:eastAsia="Times New Roman" w:cs="Times New Roman"/>
          <w:i/>
          <w:iCs/>
          <w:color w:val="000000"/>
          <w:szCs w:val="24"/>
          <w:lang w:eastAsia="es-CO"/>
        </w:rPr>
        <w:t xml:space="preserve">, como un menor valor de este. La parte de cada canon correspondiente a intereses o costo </w:t>
      </w:r>
      <w:proofErr w:type="gramStart"/>
      <w:r w:rsidRPr="00C265F8">
        <w:rPr>
          <w:rFonts w:eastAsia="Times New Roman" w:cs="Times New Roman"/>
          <w:i/>
          <w:iCs/>
          <w:color w:val="000000"/>
          <w:szCs w:val="24"/>
          <w:lang w:eastAsia="es-CO"/>
        </w:rPr>
        <w:t>financiero,</w:t>
      </w:r>
      <w:proofErr w:type="gramEnd"/>
      <w:r w:rsidRPr="00C265F8">
        <w:rPr>
          <w:rFonts w:eastAsia="Times New Roman" w:cs="Times New Roman"/>
          <w:i/>
          <w:iCs/>
          <w:color w:val="000000"/>
          <w:szCs w:val="24"/>
          <w:lang w:eastAsia="es-CO"/>
        </w:rPr>
        <w:t xml:space="preserve"> será un gasto deducible para el arrendatario sometido a las limitaciones para la deducción de intereses” </w:t>
      </w:r>
      <w:r w:rsidRPr="00C265F8">
        <w:rPr>
          <w:rFonts w:eastAsia="Times New Roman" w:cs="Times New Roman"/>
          <w:color w:val="000000"/>
          <w:szCs w:val="24"/>
          <w:lang w:eastAsia="es-CO"/>
        </w:rPr>
        <w:t>(subrayado fuera de texto) (cfr. numeral v) del literal b) del numeral 2)</w:t>
      </w:r>
      <w:r w:rsidRPr="00C265F8">
        <w:rPr>
          <w:rFonts w:eastAsia="Times New Roman" w:cs="Times New Roman"/>
          <w:i/>
          <w:iCs/>
          <w:color w:val="000000"/>
          <w:szCs w:val="24"/>
          <w:lang w:eastAsia="es-CO"/>
        </w:rPr>
        <w:t>.</w:t>
      </w:r>
    </w:p>
    <w:p w14:paraId="677A61D3"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5D07DB1B"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color w:val="000000"/>
          <w:szCs w:val="24"/>
          <w:lang w:eastAsia="es-CO"/>
        </w:rPr>
        <w:t>·           Al momento de ejercerse la opción de compra por parte del arrendatario, </w:t>
      </w:r>
      <w:r w:rsidRPr="00C265F8">
        <w:rPr>
          <w:rFonts w:eastAsia="Times New Roman" w:cs="Times New Roman"/>
          <w:i/>
          <w:iCs/>
          <w:color w:val="000000"/>
          <w:szCs w:val="24"/>
          <w:lang w:eastAsia="es-CO"/>
        </w:rPr>
        <w:t>“el valor pactado para tal fin </w:t>
      </w:r>
      <w:r w:rsidRPr="00C265F8">
        <w:rPr>
          <w:rFonts w:eastAsia="Times New Roman" w:cs="Times New Roman"/>
          <w:i/>
          <w:iCs/>
          <w:color w:val="000000"/>
          <w:szCs w:val="24"/>
          <w:u w:val="single"/>
          <w:lang w:eastAsia="es-CO"/>
        </w:rPr>
        <w:t>se cargará contra el pasivo del arrendatario</w:t>
      </w:r>
      <w:r w:rsidRPr="00C265F8">
        <w:rPr>
          <w:rFonts w:eastAsia="Times New Roman" w:cs="Times New Roman"/>
          <w:i/>
          <w:iCs/>
          <w:color w:val="000000"/>
          <w:szCs w:val="24"/>
          <w:lang w:eastAsia="es-CO"/>
        </w:rPr>
        <w:t>, debiendo quedar este en ceros” </w:t>
      </w:r>
      <w:r w:rsidRPr="00C265F8">
        <w:rPr>
          <w:rFonts w:eastAsia="Times New Roman" w:cs="Times New Roman"/>
          <w:color w:val="000000"/>
          <w:szCs w:val="24"/>
          <w:lang w:eastAsia="es-CO"/>
        </w:rPr>
        <w:t>(subrayado fuera de texto), cualquier diferencia se ajustará como ingreso o gasto (cfr. numeral vi) del literal b) del numeral 2).</w:t>
      </w:r>
    </w:p>
    <w:p w14:paraId="116D7387"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2EF5B7EB" w14:textId="77777777" w:rsidR="00C265F8" w:rsidRPr="002D1EF1" w:rsidRDefault="00C265F8" w:rsidP="00C265F8">
      <w:pPr>
        <w:spacing w:after="0" w:line="360" w:lineRule="auto"/>
        <w:jc w:val="both"/>
        <w:rPr>
          <w:rFonts w:eastAsia="Times New Roman" w:cs="Times New Roman"/>
          <w:color w:val="000000"/>
          <w:sz w:val="32"/>
          <w:szCs w:val="32"/>
          <w:lang w:eastAsia="es-CO"/>
        </w:rPr>
      </w:pPr>
      <w:r w:rsidRPr="002D1EF1">
        <w:rPr>
          <w:rFonts w:eastAsia="Times New Roman" w:cs="Times New Roman"/>
          <w:color w:val="000000"/>
          <w:sz w:val="32"/>
          <w:szCs w:val="32"/>
          <w:highlight w:val="yellow"/>
          <w:lang w:eastAsia="es-CO"/>
        </w:rPr>
        <w:t>Con base en lo anterior, es de deducir que el </w:t>
      </w:r>
      <w:r w:rsidRPr="002D1EF1">
        <w:rPr>
          <w:rFonts w:eastAsia="Times New Roman" w:cs="Times New Roman"/>
          <w:b/>
          <w:bCs/>
          <w:color w:val="000000"/>
          <w:sz w:val="32"/>
          <w:szCs w:val="32"/>
          <w:highlight w:val="yellow"/>
          <w:lang w:eastAsia="es-CO"/>
        </w:rPr>
        <w:t>ejercicio de la opción de compra </w:t>
      </w:r>
      <w:r w:rsidRPr="002D1EF1">
        <w:rPr>
          <w:rFonts w:eastAsia="Times New Roman" w:cs="Times New Roman"/>
          <w:color w:val="000000"/>
          <w:sz w:val="32"/>
          <w:szCs w:val="32"/>
          <w:highlight w:val="yellow"/>
          <w:lang w:eastAsia="es-CO"/>
        </w:rPr>
        <w:t>-en principio-no constituye un ingreso gravado para el arrendador financiero, ya que, al corresponder a un abono a capital, no genera a su favor un incremento neto del patrimonio (cfr. </w:t>
      </w:r>
      <w:hyperlink r:id="rId9" w:tooltip="Estatuto Tributario CETA" w:history="1">
        <w:r w:rsidRPr="002D1EF1">
          <w:rPr>
            <w:rFonts w:eastAsia="Times New Roman" w:cs="Times New Roman"/>
            <w:color w:val="0089E1"/>
            <w:sz w:val="32"/>
            <w:szCs w:val="32"/>
            <w:highlight w:val="yellow"/>
            <w:lang w:eastAsia="es-CO"/>
          </w:rPr>
          <w:t>artículo 26</w:t>
        </w:r>
      </w:hyperlink>
      <w:r w:rsidRPr="002D1EF1">
        <w:rPr>
          <w:rFonts w:eastAsia="Times New Roman" w:cs="Times New Roman"/>
          <w:color w:val="000000"/>
          <w:sz w:val="32"/>
          <w:szCs w:val="32"/>
          <w:highlight w:val="yellow"/>
          <w:lang w:eastAsia="es-CO"/>
        </w:rPr>
        <w:t> del Estatuto Tributario) y, por ende, no debería estar sometido a retención en la fuente.</w:t>
      </w:r>
    </w:p>
    <w:p w14:paraId="239D7CDA"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6BCB7FCC"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Al respecto, vale la pena recordar lo manifestado en el Oficio DIAN 023230 de agosto 19 de 2015:</w:t>
      </w:r>
    </w:p>
    <w:p w14:paraId="78F2B5AF"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i/>
          <w:iCs/>
          <w:color w:val="000000"/>
          <w:szCs w:val="24"/>
          <w:lang w:eastAsia="es-CO"/>
        </w:rPr>
        <w:lastRenderedPageBreak/>
        <w:t> </w:t>
      </w:r>
    </w:p>
    <w:p w14:paraId="1230EF17"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 para efectos de que determinado Ingreso sea objeto de retención en la fuente, el mismo como regla general debe cumplir con una serie de características (…):</w:t>
      </w:r>
    </w:p>
    <w:p w14:paraId="7A510A36"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p>
    <w:p w14:paraId="1201B70D"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‘En materia de retención en la fuente, es importante tener en cuenta que la misma, como mecanismo de recaudo anticipado del impuesto, es efectuada por la persona o entidad que realiza un pago o abono en cuenta, siempre que estos se encuentren sometidos a retención.</w:t>
      </w:r>
    </w:p>
    <w:p w14:paraId="66D823E5"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p>
    <w:p w14:paraId="0CE5EE8C"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Así, en términos generales, </w:t>
      </w:r>
      <w:r w:rsidRPr="00C265F8">
        <w:rPr>
          <w:rFonts w:eastAsia="Times New Roman" w:cs="Times New Roman"/>
          <w:i/>
          <w:iCs/>
          <w:color w:val="000000"/>
          <w:szCs w:val="24"/>
          <w:u w:val="single"/>
          <w:lang w:eastAsia="es-CO"/>
        </w:rPr>
        <w:t>un pago o abono en cuenta estará sometido a retención en la fuente, siempre que constituya ingreso tributario, que sea gravado con renta o ganancia ocasional,</w:t>
      </w:r>
      <w:r w:rsidRPr="00C265F8">
        <w:rPr>
          <w:rFonts w:eastAsia="Times New Roman" w:cs="Times New Roman"/>
          <w:i/>
          <w:iCs/>
          <w:color w:val="000000"/>
          <w:szCs w:val="24"/>
          <w:lang w:eastAsia="es-CO"/>
        </w:rPr>
        <w:t> o que no se halle expresamente exento de retención’</w:t>
      </w:r>
    </w:p>
    <w:p w14:paraId="6BFD28FA"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p>
    <w:p w14:paraId="6A1A00E5"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Se desprende entonces que para que proceda la retención en la fuente debe tratarse de un ingreso gravado con el Impuesto sobre la renta, por lo que de conformidad con la estructura del hecho generador (Artículo 26) de este impuesto, </w:t>
      </w:r>
      <w:r w:rsidRPr="00C265F8">
        <w:rPr>
          <w:rFonts w:eastAsia="Times New Roman" w:cs="Times New Roman"/>
          <w:i/>
          <w:iCs/>
          <w:color w:val="000000"/>
          <w:szCs w:val="24"/>
          <w:u w:val="single"/>
          <w:lang w:eastAsia="es-CO"/>
        </w:rPr>
        <w:t>son todos aquellos conceptos susceptibles de generar un incremento neto en el patrimonio de quien percibe dicho ingreso</w:t>
      </w:r>
      <w:r w:rsidRPr="00C265F8">
        <w:rPr>
          <w:rFonts w:eastAsia="Times New Roman" w:cs="Times New Roman"/>
          <w:i/>
          <w:iCs/>
          <w:color w:val="000000"/>
          <w:szCs w:val="24"/>
          <w:lang w:eastAsia="es-CO"/>
        </w:rPr>
        <w:t>”. </w:t>
      </w:r>
      <w:r w:rsidRPr="00C265F8">
        <w:rPr>
          <w:rFonts w:eastAsia="Times New Roman" w:cs="Times New Roman"/>
          <w:color w:val="000000"/>
          <w:szCs w:val="24"/>
          <w:lang w:eastAsia="es-CO"/>
        </w:rPr>
        <w:t>(Subrayado fuera de texto).</w:t>
      </w:r>
    </w:p>
    <w:p w14:paraId="02A1379F"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7DDF8DD9" w14:textId="77777777" w:rsidR="00C265F8" w:rsidRPr="002D1EF1" w:rsidRDefault="00C265F8" w:rsidP="00C265F8">
      <w:pPr>
        <w:spacing w:after="0" w:line="360" w:lineRule="auto"/>
        <w:jc w:val="both"/>
        <w:rPr>
          <w:rFonts w:eastAsia="Times New Roman" w:cs="Times New Roman"/>
          <w:color w:val="000000"/>
          <w:sz w:val="28"/>
          <w:szCs w:val="28"/>
          <w:lang w:eastAsia="es-CO"/>
        </w:rPr>
      </w:pPr>
      <w:r w:rsidRPr="002D1EF1">
        <w:rPr>
          <w:rFonts w:eastAsia="Times New Roman" w:cs="Times New Roman"/>
          <w:color w:val="000000"/>
          <w:sz w:val="28"/>
          <w:szCs w:val="28"/>
          <w:highlight w:val="yellow"/>
          <w:lang w:eastAsia="es-CO"/>
        </w:rPr>
        <w:t>A la par, no sobra señalar que, acorde con el artículo 1.2.4.9.1. del Decreto 1625 de 2016, los pagos o abonos en cuenta que correspondan a la cancelación de pasivos o a reembolsos de capital se exceptúan de la retención en la fuente residual de que trata dicha disposición.</w:t>
      </w:r>
    </w:p>
    <w:p w14:paraId="0451BBCB" w14:textId="77777777" w:rsidR="00C265F8" w:rsidRPr="002D1EF1" w:rsidRDefault="00C265F8" w:rsidP="00C265F8">
      <w:pPr>
        <w:spacing w:after="0" w:line="360" w:lineRule="auto"/>
        <w:jc w:val="both"/>
        <w:rPr>
          <w:rFonts w:eastAsia="Times New Roman" w:cs="Times New Roman"/>
          <w:color w:val="000000"/>
          <w:sz w:val="28"/>
          <w:szCs w:val="28"/>
          <w:lang w:eastAsia="es-CO"/>
        </w:rPr>
      </w:pPr>
      <w:r w:rsidRPr="002D1EF1">
        <w:rPr>
          <w:rFonts w:eastAsia="Times New Roman" w:cs="Times New Roman"/>
          <w:color w:val="000000"/>
          <w:sz w:val="28"/>
          <w:szCs w:val="28"/>
          <w:lang w:eastAsia="es-CO"/>
        </w:rPr>
        <w:t> </w:t>
      </w:r>
    </w:p>
    <w:p w14:paraId="4E9E0BD3" w14:textId="77777777" w:rsidR="00C265F8" w:rsidRPr="00C265F8" w:rsidRDefault="00C265F8" w:rsidP="00C265F8">
      <w:pPr>
        <w:spacing w:after="0" w:line="360" w:lineRule="auto"/>
        <w:jc w:val="both"/>
        <w:rPr>
          <w:rFonts w:eastAsia="Times New Roman" w:cs="Times New Roman"/>
          <w:color w:val="000000"/>
          <w:szCs w:val="24"/>
          <w:lang w:eastAsia="es-CO"/>
        </w:rPr>
      </w:pPr>
      <w:r w:rsidRPr="002D1EF1">
        <w:rPr>
          <w:rFonts w:eastAsia="Times New Roman" w:cs="Times New Roman"/>
          <w:color w:val="000000"/>
          <w:szCs w:val="24"/>
          <w:highlight w:val="yellow"/>
          <w:lang w:eastAsia="es-CO"/>
        </w:rPr>
        <w:t>Por ende, para efectos del otorgamiento de la escritura pública cuando el comprador del inmueble es una persona jurídica o una sociedad de hecho, no se debería exigir la retención en la fuente a título del impuesto sobre la renta, a diferencia de lo que se plantea en el parágrafo del </w:t>
      </w:r>
      <w:hyperlink r:id="rId10" w:tooltip="Estatuto Tributario CETA" w:history="1">
        <w:r w:rsidRPr="002D1EF1">
          <w:rPr>
            <w:rFonts w:eastAsia="Times New Roman" w:cs="Times New Roman"/>
            <w:color w:val="0089E1"/>
            <w:szCs w:val="24"/>
            <w:highlight w:val="yellow"/>
            <w:lang w:eastAsia="es-CO"/>
          </w:rPr>
          <w:t>artículo 401</w:t>
        </w:r>
      </w:hyperlink>
      <w:r w:rsidRPr="002D1EF1">
        <w:rPr>
          <w:rFonts w:eastAsia="Times New Roman" w:cs="Times New Roman"/>
          <w:color w:val="000000"/>
          <w:szCs w:val="24"/>
          <w:highlight w:val="yellow"/>
          <w:lang w:eastAsia="es-CO"/>
        </w:rPr>
        <w:t> del Estatuto Tributario.</w:t>
      </w:r>
    </w:p>
    <w:p w14:paraId="20387685"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31279021"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Por último, se advierte que, para lo aquí concluido, se ha partido del supuesto planteado por el peticionario, esto es, que el ejercicio de la opción de compra corresponde exclusivamente a un abono de capital con la consecuente cancelación del pasivo.</w:t>
      </w:r>
    </w:p>
    <w:p w14:paraId="55D10439"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b/>
          <w:bCs/>
          <w:color w:val="000000"/>
          <w:szCs w:val="24"/>
          <w:lang w:eastAsia="es-CO"/>
        </w:rPr>
        <w:t> </w:t>
      </w:r>
    </w:p>
    <w:p w14:paraId="4E9BEE6D"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b/>
          <w:bCs/>
          <w:color w:val="000000"/>
          <w:szCs w:val="24"/>
          <w:lang w:eastAsia="es-CO"/>
        </w:rPr>
        <w:t>1.2. </w:t>
      </w:r>
      <w:r w:rsidRPr="00C265F8">
        <w:rPr>
          <w:rFonts w:eastAsia="Times New Roman" w:cs="Times New Roman"/>
          <w:b/>
          <w:bCs/>
          <w:i/>
          <w:iCs/>
          <w:color w:val="000000"/>
          <w:szCs w:val="24"/>
          <w:lang w:eastAsia="es-CO"/>
        </w:rPr>
        <w:t>“En caso de que la entidad financiera arrendadora en un contrato de leasing financiero certifique que </w:t>
      </w:r>
      <w:r w:rsidRPr="00C265F8">
        <w:rPr>
          <w:rFonts w:eastAsia="Times New Roman" w:cs="Times New Roman"/>
          <w:b/>
          <w:bCs/>
          <w:i/>
          <w:iCs/>
          <w:color w:val="000000"/>
          <w:szCs w:val="24"/>
          <w:u w:val="single"/>
          <w:lang w:eastAsia="es-CO"/>
        </w:rPr>
        <w:t>no existe un valor residual del capital invertido en la compra del bien para el ejercicio de la opción de adquisición en el respectivo contrato</w:t>
      </w:r>
      <w:r w:rsidRPr="00C265F8">
        <w:rPr>
          <w:rFonts w:eastAsia="Times New Roman" w:cs="Times New Roman"/>
          <w:b/>
          <w:bCs/>
          <w:i/>
          <w:iCs/>
          <w:color w:val="000000"/>
          <w:szCs w:val="24"/>
          <w:lang w:eastAsia="es-CO"/>
        </w:rPr>
        <w:t>, no es aplicable la retención en la fuente de que se trata en el artículo 1.2.4.9.1. del Decreto 1625 de 2016 y, por lo tanto, no es procedente la aplicación del parágrafo del </w:t>
      </w:r>
      <w:hyperlink r:id="rId11" w:tooltip="Estatuto Tributario CETA" w:history="1">
        <w:r w:rsidRPr="00C265F8">
          <w:rPr>
            <w:rFonts w:eastAsia="Times New Roman" w:cs="Times New Roman"/>
            <w:b/>
            <w:bCs/>
            <w:i/>
            <w:iCs/>
            <w:color w:val="0089E1"/>
            <w:szCs w:val="24"/>
            <w:lang w:eastAsia="es-CO"/>
          </w:rPr>
          <w:t>artículo 401</w:t>
        </w:r>
      </w:hyperlink>
      <w:r w:rsidRPr="00C265F8">
        <w:rPr>
          <w:rFonts w:eastAsia="Times New Roman" w:cs="Times New Roman"/>
          <w:b/>
          <w:bCs/>
          <w:i/>
          <w:iCs/>
          <w:color w:val="000000"/>
          <w:szCs w:val="24"/>
          <w:lang w:eastAsia="es-CO"/>
        </w:rPr>
        <w:t xml:space="preserve"> del E.T., razón por la cual los notarios no deben exigir la presentación del recibo de pago de la retención en la fuente, para </w:t>
      </w:r>
      <w:r w:rsidRPr="00C265F8">
        <w:rPr>
          <w:rFonts w:eastAsia="Times New Roman" w:cs="Times New Roman"/>
          <w:b/>
          <w:bCs/>
          <w:i/>
          <w:iCs/>
          <w:color w:val="000000"/>
          <w:szCs w:val="24"/>
          <w:lang w:eastAsia="es-CO"/>
        </w:rPr>
        <w:lastRenderedPageBreak/>
        <w:t>autorizar la escritura pública por la cual se ejerce la opción de adquisición del bien inmueble dado en leasing o arrendamiento financiero”. </w:t>
      </w:r>
      <w:r w:rsidRPr="00C265F8">
        <w:rPr>
          <w:rFonts w:eastAsia="Times New Roman" w:cs="Times New Roman"/>
          <w:b/>
          <w:bCs/>
          <w:color w:val="000000"/>
          <w:szCs w:val="24"/>
          <w:lang w:eastAsia="es-CO"/>
        </w:rPr>
        <w:t>(Subrayado fuera de texto).</w:t>
      </w:r>
    </w:p>
    <w:p w14:paraId="4F169EC4"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31D5B6DF"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Retomando el </w:t>
      </w:r>
      <w:hyperlink r:id="rId12" w:tooltip="Estatuto Tributario CETA" w:history="1">
        <w:r w:rsidRPr="00C265F8">
          <w:rPr>
            <w:rFonts w:eastAsia="Times New Roman" w:cs="Times New Roman"/>
            <w:color w:val="0089E1"/>
            <w:szCs w:val="24"/>
            <w:lang w:eastAsia="es-CO"/>
          </w:rPr>
          <w:t>artículo 127-1</w:t>
        </w:r>
      </w:hyperlink>
      <w:r w:rsidRPr="00C265F8">
        <w:rPr>
          <w:rFonts w:eastAsia="Times New Roman" w:cs="Times New Roman"/>
          <w:color w:val="000000"/>
          <w:szCs w:val="24"/>
          <w:lang w:eastAsia="es-CO"/>
        </w:rPr>
        <w:t> del Estatuto Tributario, este indica:</w:t>
      </w:r>
    </w:p>
    <w:p w14:paraId="6ED5518A"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08A614BF"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color w:val="000000"/>
          <w:szCs w:val="24"/>
          <w:lang w:eastAsia="es-CO"/>
        </w:rPr>
        <w:t>·           Al final del contrato de arrendamiento financiero se transfiere la propiedad del activo al arrendatario (cfr. numeral i) del literal a) del numeral 1).</w:t>
      </w:r>
    </w:p>
    <w:p w14:paraId="66768F5E"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6D66FAE3"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color w:val="000000"/>
          <w:szCs w:val="24"/>
          <w:lang w:eastAsia="es-CO"/>
        </w:rPr>
        <w:t>·        </w:t>
      </w:r>
      <w:proofErr w:type="gramStart"/>
      <w:r w:rsidRPr="00C265F8">
        <w:rPr>
          <w:rFonts w:eastAsia="Times New Roman" w:cs="Times New Roman"/>
          <w:color w:val="000000"/>
          <w:szCs w:val="24"/>
          <w:lang w:eastAsia="es-CO"/>
        </w:rPr>
        <w:t>   </w:t>
      </w:r>
      <w:r w:rsidRPr="00C265F8">
        <w:rPr>
          <w:rFonts w:eastAsia="Times New Roman" w:cs="Times New Roman"/>
          <w:i/>
          <w:iCs/>
          <w:color w:val="000000"/>
          <w:szCs w:val="24"/>
          <w:lang w:eastAsia="es-CO"/>
        </w:rPr>
        <w:t>“</w:t>
      </w:r>
      <w:proofErr w:type="gramEnd"/>
      <w:r w:rsidRPr="00C265F8">
        <w:rPr>
          <w:rFonts w:eastAsia="Times New Roman" w:cs="Times New Roman"/>
          <w:i/>
          <w:iCs/>
          <w:color w:val="000000"/>
          <w:szCs w:val="24"/>
          <w:lang w:eastAsia="es-CO"/>
        </w:rPr>
        <w:t>El arrendatario o locatario tiene la opción de comprar el activo a un precio que sea suficientemente inferior a su valor comercial </w:t>
      </w:r>
      <w:r w:rsidRPr="00C265F8">
        <w:rPr>
          <w:rFonts w:eastAsia="Times New Roman" w:cs="Times New Roman"/>
          <w:i/>
          <w:iCs/>
          <w:color w:val="000000"/>
          <w:szCs w:val="24"/>
          <w:u w:val="single"/>
          <w:lang w:eastAsia="es-CO"/>
        </w:rPr>
        <w:t>en el momento en que la opción de compra sea ejercida</w:t>
      </w:r>
      <w:r w:rsidRPr="00C265F8">
        <w:rPr>
          <w:rFonts w:eastAsia="Times New Roman" w:cs="Times New Roman"/>
          <w:i/>
          <w:iCs/>
          <w:color w:val="000000"/>
          <w:szCs w:val="24"/>
          <w:lang w:eastAsia="es-CO"/>
        </w:rPr>
        <w:t>, de modo que al inicio del arrendamiento se prevea con razonable certeza que tal opción podrá ser ejercida” </w:t>
      </w:r>
      <w:r w:rsidRPr="00C265F8">
        <w:rPr>
          <w:rFonts w:eastAsia="Times New Roman" w:cs="Times New Roman"/>
          <w:color w:val="000000"/>
          <w:szCs w:val="24"/>
          <w:lang w:eastAsia="es-CO"/>
        </w:rPr>
        <w:t xml:space="preserve">(subrayado fuera de texto) (cfr. numeral </w:t>
      </w:r>
      <w:proofErr w:type="spellStart"/>
      <w:r w:rsidRPr="00C265F8">
        <w:rPr>
          <w:rFonts w:eastAsia="Times New Roman" w:cs="Times New Roman"/>
          <w:color w:val="000000"/>
          <w:szCs w:val="24"/>
          <w:lang w:eastAsia="es-CO"/>
        </w:rPr>
        <w:t>ii</w:t>
      </w:r>
      <w:proofErr w:type="spellEnd"/>
      <w:r w:rsidRPr="00C265F8">
        <w:rPr>
          <w:rFonts w:eastAsia="Times New Roman" w:cs="Times New Roman"/>
          <w:color w:val="000000"/>
          <w:szCs w:val="24"/>
          <w:lang w:eastAsia="es-CO"/>
        </w:rPr>
        <w:t>) del literal a) del numeral 1).</w:t>
      </w:r>
    </w:p>
    <w:p w14:paraId="22B3CC54"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66B281B6" w14:textId="77777777" w:rsidR="00C265F8" w:rsidRPr="002D1EF1" w:rsidRDefault="00C265F8" w:rsidP="00C265F8">
      <w:pPr>
        <w:spacing w:after="0" w:line="360" w:lineRule="auto"/>
        <w:jc w:val="both"/>
        <w:rPr>
          <w:rFonts w:eastAsia="Times New Roman" w:cs="Times New Roman"/>
          <w:color w:val="000000"/>
          <w:sz w:val="28"/>
          <w:szCs w:val="28"/>
          <w:lang w:eastAsia="es-CO"/>
        </w:rPr>
      </w:pPr>
      <w:r w:rsidRPr="002D1EF1">
        <w:rPr>
          <w:rFonts w:eastAsia="Times New Roman" w:cs="Times New Roman"/>
          <w:color w:val="000000"/>
          <w:sz w:val="28"/>
          <w:szCs w:val="28"/>
          <w:highlight w:val="yellow"/>
          <w:lang w:eastAsia="es-CO"/>
        </w:rPr>
        <w:t>Ahora bien, asumiendo que el arrendatario -a modo de ejemplo- hubiese pagado cánones extraordinarios con el fin de disminuir el valor de la opción de compra (cfr. artículo 2.28.1.2.3. del Decreto 2555 de 2010 en materia del leasing habitacional) al punto que este fuese inexistente por dicho motivo o cualquier otro, es de colegir que el ejercicio de la mencionada opción -el cual conlleva la transferencia del derecho de dominio sobre el inmueble (cfr. a modo de ejemplo el artículo 2.28.1.3.1. del referido Decreto 2555 en materia del leasing habitacional)-no implicaría el pago de suma alguna y, por lo tanto, tampoco la práctica de retención en la fuente sobre la misma.</w:t>
      </w:r>
    </w:p>
    <w:p w14:paraId="69272318"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1D7A32DA"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Sin embargo, en cada caso particular se deberá examinar lo siguiente:</w:t>
      </w:r>
    </w:p>
    <w:p w14:paraId="73FD9495"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623A0B97"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color w:val="000000"/>
          <w:szCs w:val="24"/>
          <w:lang w:eastAsia="es-CO"/>
        </w:rPr>
        <w:t>·           Que, con el ejercicio de la opción de compra y atendiendo los marcos técnicos normativos contables que sean aplicables, haya o no lugar a reconocer el devengo contable de un ingreso en cabeza del arrendador financiero, el cual también se deba reconocer fiscalmente (cfr. artículos </w:t>
      </w:r>
      <w:hyperlink r:id="rId13" w:tooltip="Estatuto Tributario CETA" w:history="1">
        <w:r w:rsidRPr="00C265F8">
          <w:rPr>
            <w:rFonts w:eastAsia="Times New Roman" w:cs="Times New Roman"/>
            <w:color w:val="0089E1"/>
            <w:szCs w:val="24"/>
            <w:lang w:eastAsia="es-CO"/>
          </w:rPr>
          <w:t>21-1</w:t>
        </w:r>
      </w:hyperlink>
      <w:r w:rsidRPr="00C265F8">
        <w:rPr>
          <w:rFonts w:eastAsia="Times New Roman" w:cs="Times New Roman"/>
          <w:color w:val="000000"/>
          <w:szCs w:val="24"/>
          <w:lang w:eastAsia="es-CO"/>
        </w:rPr>
        <w:t> y </w:t>
      </w:r>
      <w:hyperlink r:id="rId14" w:tooltip="Estatuto Tributario CETA" w:history="1">
        <w:r w:rsidRPr="00C265F8">
          <w:rPr>
            <w:rFonts w:eastAsia="Times New Roman" w:cs="Times New Roman"/>
            <w:color w:val="0089E1"/>
            <w:szCs w:val="24"/>
            <w:lang w:eastAsia="es-CO"/>
          </w:rPr>
          <w:t>28</w:t>
        </w:r>
      </w:hyperlink>
      <w:r w:rsidRPr="00C265F8">
        <w:rPr>
          <w:rFonts w:eastAsia="Times New Roman" w:cs="Times New Roman"/>
          <w:color w:val="000000"/>
          <w:szCs w:val="24"/>
          <w:lang w:eastAsia="es-CO"/>
        </w:rPr>
        <w:t> del Estatuto Tributario).</w:t>
      </w:r>
    </w:p>
    <w:p w14:paraId="67DB9C9C"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6F13F711"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Sobre el particular, es de anotar que </w:t>
      </w:r>
      <w:r w:rsidRPr="00C265F8">
        <w:rPr>
          <w:rFonts w:eastAsia="Times New Roman" w:cs="Times New Roman"/>
          <w:i/>
          <w:iCs/>
          <w:color w:val="000000"/>
          <w:szCs w:val="24"/>
          <w:lang w:eastAsia="es-CO"/>
        </w:rPr>
        <w:t>“la retención en la fuente a título del impuesto sobre la renta debe efectuarse, por regla general, en el momento del pago o abono en cuenta, lo que ocurra primero” </w:t>
      </w:r>
      <w:r w:rsidRPr="00C265F8">
        <w:rPr>
          <w:rFonts w:eastAsia="Times New Roman" w:cs="Times New Roman"/>
          <w:color w:val="000000"/>
          <w:szCs w:val="24"/>
          <w:lang w:eastAsia="es-CO"/>
        </w:rPr>
        <w:t>(cfr. Concepto DIAN 003580 de enero 12 de 2006).</w:t>
      </w:r>
    </w:p>
    <w:p w14:paraId="6BFA44AE"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7B29AAA3"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color w:val="000000"/>
          <w:szCs w:val="24"/>
          <w:lang w:eastAsia="es-CO"/>
        </w:rPr>
        <w:t xml:space="preserve">·           Que el ejercicio de la opción de compra no comporte el pago de otros valores diferentes al abono de capital, tales como ingresos financieros procedentes del activo por arrendamiento, </w:t>
      </w:r>
      <w:r w:rsidRPr="00C265F8">
        <w:rPr>
          <w:rFonts w:eastAsia="Times New Roman" w:cs="Times New Roman"/>
          <w:color w:val="000000"/>
          <w:szCs w:val="24"/>
          <w:lang w:eastAsia="es-CO"/>
        </w:rPr>
        <w:lastRenderedPageBreak/>
        <w:t>los cuales están gravados con el impuesto sobre la renta y complementarios (cfr. </w:t>
      </w:r>
      <w:hyperlink r:id="rId15" w:tooltip="Estatuto Tributario CETA" w:history="1">
        <w:r w:rsidRPr="00C265F8">
          <w:rPr>
            <w:rFonts w:eastAsia="Times New Roman" w:cs="Times New Roman"/>
            <w:color w:val="0089E1"/>
            <w:szCs w:val="24"/>
            <w:lang w:eastAsia="es-CO"/>
          </w:rPr>
          <w:t>artículo 127-1</w:t>
        </w:r>
      </w:hyperlink>
      <w:r w:rsidRPr="00C265F8">
        <w:rPr>
          <w:rFonts w:eastAsia="Times New Roman" w:cs="Times New Roman"/>
          <w:color w:val="000000"/>
          <w:szCs w:val="24"/>
          <w:lang w:eastAsia="es-CO"/>
        </w:rPr>
        <w:t> del Estatuto Tributario).</w:t>
      </w:r>
    </w:p>
    <w:p w14:paraId="088430EB"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b/>
          <w:bCs/>
          <w:color w:val="000000"/>
          <w:szCs w:val="24"/>
          <w:lang w:eastAsia="es-CO"/>
        </w:rPr>
        <w:t> </w:t>
      </w:r>
    </w:p>
    <w:p w14:paraId="52556B08"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b/>
          <w:bCs/>
          <w:color w:val="000000"/>
          <w:szCs w:val="24"/>
          <w:highlight w:val="yellow"/>
          <w:lang w:eastAsia="es-CO"/>
        </w:rPr>
        <w:t>1.3. </w:t>
      </w:r>
      <w:r w:rsidRPr="00C265F8">
        <w:rPr>
          <w:rFonts w:eastAsia="Times New Roman" w:cs="Times New Roman"/>
          <w:b/>
          <w:bCs/>
          <w:i/>
          <w:iCs/>
          <w:color w:val="000000"/>
          <w:szCs w:val="24"/>
          <w:highlight w:val="yellow"/>
          <w:lang w:eastAsia="es-CO"/>
        </w:rPr>
        <w:t>“En los eventos en los que se presenten </w:t>
      </w:r>
      <w:r w:rsidRPr="00C265F8">
        <w:rPr>
          <w:rFonts w:eastAsia="Times New Roman" w:cs="Times New Roman"/>
          <w:b/>
          <w:bCs/>
          <w:i/>
          <w:iCs/>
          <w:color w:val="000000"/>
          <w:szCs w:val="24"/>
          <w:highlight w:val="yellow"/>
          <w:u w:val="single"/>
          <w:lang w:eastAsia="es-CO"/>
        </w:rPr>
        <w:t>cesiones de una operación de leasing financiero por compra de cartera</w:t>
      </w:r>
      <w:r w:rsidRPr="00C265F8">
        <w:rPr>
          <w:rFonts w:eastAsia="Times New Roman" w:cs="Times New Roman"/>
          <w:b/>
          <w:bCs/>
          <w:i/>
          <w:iCs/>
          <w:color w:val="000000"/>
          <w:szCs w:val="24"/>
          <w:highlight w:val="yellow"/>
          <w:lang w:eastAsia="es-CO"/>
        </w:rPr>
        <w:t>, no es aplicable la retención en la fuente de que trata en el artículo 1.2.4.9.1. del Decreto 1625 de 2016 y, por lo tanto, no es procedente la aplicación del parágrafo del </w:t>
      </w:r>
      <w:hyperlink r:id="rId16" w:tooltip="Estatuto Tributario CETA" w:history="1">
        <w:r w:rsidRPr="00C265F8">
          <w:rPr>
            <w:rFonts w:eastAsia="Times New Roman" w:cs="Times New Roman"/>
            <w:b/>
            <w:bCs/>
            <w:i/>
            <w:iCs/>
            <w:color w:val="0089E1"/>
            <w:szCs w:val="24"/>
            <w:highlight w:val="yellow"/>
            <w:lang w:eastAsia="es-CO"/>
          </w:rPr>
          <w:t>artículo 401</w:t>
        </w:r>
      </w:hyperlink>
      <w:r w:rsidRPr="00C265F8">
        <w:rPr>
          <w:rFonts w:eastAsia="Times New Roman" w:cs="Times New Roman"/>
          <w:b/>
          <w:bCs/>
          <w:i/>
          <w:iCs/>
          <w:color w:val="000000"/>
          <w:szCs w:val="24"/>
          <w:highlight w:val="yellow"/>
          <w:lang w:eastAsia="es-CO"/>
        </w:rPr>
        <w:t> del E.T., razón por la cual los notarios no deben exigir en estos eventos la presentación del recibo de pago de la retención en la fuente, para autorizar la escritura pública por la cual </w:t>
      </w:r>
      <w:r w:rsidRPr="00C265F8">
        <w:rPr>
          <w:rFonts w:eastAsia="Times New Roman" w:cs="Times New Roman"/>
          <w:b/>
          <w:bCs/>
          <w:i/>
          <w:iCs/>
          <w:color w:val="000000"/>
          <w:szCs w:val="24"/>
          <w:highlight w:val="yellow"/>
          <w:u w:val="single"/>
          <w:lang w:eastAsia="es-CO"/>
        </w:rPr>
        <w:t>se traslada la propiedad del bien a la nueva entidad financiera que ejerció la opción de adquisición del bien inmueble para constituir una nueva operación de leasing con el mismo cliente del negocio inicial</w:t>
      </w:r>
      <w:r w:rsidRPr="00C265F8">
        <w:rPr>
          <w:rFonts w:eastAsia="Times New Roman" w:cs="Times New Roman"/>
          <w:b/>
          <w:bCs/>
          <w:i/>
          <w:iCs/>
          <w:color w:val="000000"/>
          <w:szCs w:val="24"/>
          <w:highlight w:val="yellow"/>
          <w:lang w:eastAsia="es-CO"/>
        </w:rPr>
        <w:t>”. </w:t>
      </w:r>
      <w:r w:rsidRPr="00C265F8">
        <w:rPr>
          <w:rFonts w:eastAsia="Times New Roman" w:cs="Times New Roman"/>
          <w:b/>
          <w:bCs/>
          <w:color w:val="000000"/>
          <w:szCs w:val="24"/>
          <w:highlight w:val="yellow"/>
          <w:lang w:eastAsia="es-CO"/>
        </w:rPr>
        <w:t>(Subrayado fuera de texto).</w:t>
      </w:r>
    </w:p>
    <w:p w14:paraId="31F7EC92"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0F3B6EA4"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Valga reiterar que la cesión aquí planteada es aquella que se realiza sobre la posición contractual del arrendador financiero (de un establecimiento bancario o compañía de financiamiento a otra) y no sobre la posición contractual del arrendatario o locatario.</w:t>
      </w:r>
    </w:p>
    <w:p w14:paraId="761035A2"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66E6808F"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Bajo esta premisa y, a partir de lo explicado en los puntos anteriores, en cada caso particular se deberá verificar si la cesión del contrato de leasing por parte de un arrendador financiero a otro -lo cual acarrea la transferencia del bien sometido a arrendamiento financiero- genera un pago o abono en cuenta que constituya a su vez ingreso gravado con el impuesto sobre la renta, el cual estaría, por ende, sometido a retención en la fuente.</w:t>
      </w:r>
    </w:p>
    <w:p w14:paraId="33DEDFC4"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b/>
          <w:bCs/>
          <w:color w:val="000000"/>
          <w:szCs w:val="24"/>
          <w:lang w:eastAsia="es-CO"/>
        </w:rPr>
        <w:t> </w:t>
      </w:r>
    </w:p>
    <w:p w14:paraId="083B38AD"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b/>
          <w:bCs/>
          <w:color w:val="000000"/>
          <w:szCs w:val="24"/>
          <w:lang w:eastAsia="es-CO"/>
        </w:rPr>
        <w:t>2. En las daciones en pago y las adjudicaciones por remate judicial</w:t>
      </w:r>
    </w:p>
    <w:p w14:paraId="62F9E97C"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b/>
          <w:bCs/>
          <w:color w:val="000000"/>
          <w:szCs w:val="24"/>
          <w:lang w:eastAsia="es-CO"/>
        </w:rPr>
        <w:t> </w:t>
      </w:r>
    </w:p>
    <w:p w14:paraId="287F336F"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b/>
          <w:bCs/>
          <w:color w:val="000000"/>
          <w:sz w:val="28"/>
          <w:szCs w:val="28"/>
          <w:highlight w:val="yellow"/>
          <w:lang w:eastAsia="es-CO"/>
        </w:rPr>
        <w:t>2.1. </w:t>
      </w:r>
      <w:r w:rsidRPr="00C265F8">
        <w:rPr>
          <w:rFonts w:eastAsia="Times New Roman" w:cs="Times New Roman"/>
          <w:b/>
          <w:bCs/>
          <w:i/>
          <w:iCs/>
          <w:color w:val="000000"/>
          <w:sz w:val="28"/>
          <w:szCs w:val="28"/>
          <w:highlight w:val="yellow"/>
          <w:lang w:eastAsia="es-CO"/>
        </w:rPr>
        <w:t>“En los eventos en los que se presenta una dación en pago y se entregue un bien inmueble, como </w:t>
      </w:r>
      <w:r w:rsidRPr="00C265F8">
        <w:rPr>
          <w:rFonts w:eastAsia="Times New Roman" w:cs="Times New Roman"/>
          <w:b/>
          <w:bCs/>
          <w:i/>
          <w:iCs/>
          <w:color w:val="000000"/>
          <w:sz w:val="28"/>
          <w:szCs w:val="28"/>
          <w:highlight w:val="yellow"/>
          <w:u w:val="single"/>
          <w:lang w:eastAsia="es-CO"/>
        </w:rPr>
        <w:t>mecanismo alternativo de pago de un crédito con una entidad financiera</w:t>
      </w:r>
      <w:r w:rsidRPr="00C265F8">
        <w:rPr>
          <w:rFonts w:eastAsia="Times New Roman" w:cs="Times New Roman"/>
          <w:b/>
          <w:bCs/>
          <w:i/>
          <w:iCs/>
          <w:color w:val="000000"/>
          <w:sz w:val="32"/>
          <w:szCs w:val="32"/>
          <w:highlight w:val="cyan"/>
          <w:u w:val="single"/>
          <w:lang w:eastAsia="es-CO"/>
        </w:rPr>
        <w:t>,</w:t>
      </w:r>
      <w:r w:rsidRPr="00C265F8">
        <w:rPr>
          <w:rFonts w:eastAsia="Times New Roman" w:cs="Times New Roman"/>
          <w:b/>
          <w:bCs/>
          <w:i/>
          <w:iCs/>
          <w:color w:val="000000"/>
          <w:sz w:val="32"/>
          <w:szCs w:val="32"/>
          <w:highlight w:val="cyan"/>
          <w:lang w:eastAsia="es-CO"/>
        </w:rPr>
        <w:t> no es aplicable la retención en la fuente</w:t>
      </w:r>
      <w:r w:rsidRPr="00C265F8">
        <w:rPr>
          <w:rFonts w:eastAsia="Times New Roman" w:cs="Times New Roman"/>
          <w:b/>
          <w:bCs/>
          <w:i/>
          <w:iCs/>
          <w:color w:val="000000"/>
          <w:szCs w:val="24"/>
          <w:highlight w:val="cyan"/>
          <w:lang w:eastAsia="es-CO"/>
        </w:rPr>
        <w:t xml:space="preserve"> a que se refiere el </w:t>
      </w:r>
      <w:hyperlink r:id="rId17" w:tooltip="Estatuto Tributario CETA" w:history="1">
        <w:r w:rsidRPr="00C265F8">
          <w:rPr>
            <w:rFonts w:eastAsia="Times New Roman" w:cs="Times New Roman"/>
            <w:b/>
            <w:bCs/>
            <w:i/>
            <w:iCs/>
            <w:color w:val="0089E1"/>
            <w:szCs w:val="24"/>
            <w:highlight w:val="cyan"/>
            <w:lang w:eastAsia="es-CO"/>
          </w:rPr>
          <w:t>artículo 401</w:t>
        </w:r>
      </w:hyperlink>
      <w:r w:rsidRPr="00C265F8">
        <w:rPr>
          <w:rFonts w:eastAsia="Times New Roman" w:cs="Times New Roman"/>
          <w:b/>
          <w:bCs/>
          <w:i/>
          <w:iCs/>
          <w:color w:val="000000"/>
          <w:szCs w:val="24"/>
          <w:highlight w:val="cyan"/>
          <w:lang w:eastAsia="es-CO"/>
        </w:rPr>
        <w:t> del E.T., dado que jurídicamente no se configura una compra del bien, razón por la cual los notarios no deben exigir la presentación del recibo de pago para autorizar la escritura pública de traspaso del inmueble respectivo”. </w:t>
      </w:r>
      <w:r w:rsidRPr="00C265F8">
        <w:rPr>
          <w:rFonts w:eastAsia="Times New Roman" w:cs="Times New Roman"/>
          <w:b/>
          <w:bCs/>
          <w:color w:val="000000"/>
          <w:szCs w:val="24"/>
          <w:highlight w:val="cyan"/>
          <w:lang w:eastAsia="es-CO"/>
        </w:rPr>
        <w:t>(Subrayado fuera de texto).</w:t>
      </w:r>
    </w:p>
    <w:p w14:paraId="32E4E6B1"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1272E514"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El parágrafo del </w:t>
      </w:r>
      <w:hyperlink r:id="rId18" w:tooltip="Estatuto Tributario CETA" w:history="1">
        <w:r w:rsidRPr="00C265F8">
          <w:rPr>
            <w:rFonts w:eastAsia="Times New Roman" w:cs="Times New Roman"/>
            <w:color w:val="0089E1"/>
            <w:szCs w:val="24"/>
            <w:lang w:eastAsia="es-CO"/>
          </w:rPr>
          <w:t>artículo 401</w:t>
        </w:r>
      </w:hyperlink>
      <w:r w:rsidRPr="00C265F8">
        <w:rPr>
          <w:rFonts w:eastAsia="Times New Roman" w:cs="Times New Roman"/>
          <w:color w:val="000000"/>
          <w:szCs w:val="24"/>
          <w:lang w:eastAsia="es-CO"/>
        </w:rPr>
        <w:t> del Estatuto Tributario señala:</w:t>
      </w:r>
    </w:p>
    <w:p w14:paraId="5CCADC66"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p>
    <w:p w14:paraId="6D760E5E"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w:t>
      </w:r>
      <w:r w:rsidRPr="00C265F8">
        <w:rPr>
          <w:rFonts w:eastAsia="Times New Roman" w:cs="Times New Roman"/>
          <w:b/>
          <w:bCs/>
          <w:i/>
          <w:iCs/>
          <w:color w:val="000000"/>
          <w:szCs w:val="24"/>
          <w:lang w:eastAsia="es-CO"/>
        </w:rPr>
        <w:t>PARÁGRAFO.</w:t>
      </w:r>
      <w:r w:rsidRPr="00C265F8">
        <w:rPr>
          <w:rFonts w:eastAsia="Times New Roman" w:cs="Times New Roman"/>
          <w:i/>
          <w:iCs/>
          <w:color w:val="000000"/>
          <w:szCs w:val="24"/>
          <w:lang w:eastAsia="es-CO"/>
        </w:rPr>
        <w:t> &lt;Parágrafo modificado por el artículo 65 de la Ley 2010 de 2019. El nuevo texto es el siguiente:&gt; Cuando el </w:t>
      </w:r>
      <w:r w:rsidRPr="00C265F8">
        <w:rPr>
          <w:rFonts w:eastAsia="Times New Roman" w:cs="Times New Roman"/>
          <w:i/>
          <w:iCs/>
          <w:color w:val="000000"/>
          <w:szCs w:val="24"/>
          <w:u w:val="single"/>
          <w:lang w:eastAsia="es-CO"/>
        </w:rPr>
        <w:t>comprador</w:t>
      </w:r>
      <w:r w:rsidRPr="00C265F8">
        <w:rPr>
          <w:rFonts w:eastAsia="Times New Roman" w:cs="Times New Roman"/>
          <w:i/>
          <w:iCs/>
          <w:color w:val="000000"/>
          <w:szCs w:val="24"/>
          <w:lang w:eastAsia="es-CO"/>
        </w:rPr>
        <w:t> de un bien inmueble sea una persona jurídica o una sociedad de hecho, la retención en la fuente a título del impuesto sobre la renta </w:t>
      </w:r>
      <w:r w:rsidRPr="00C265F8">
        <w:rPr>
          <w:rFonts w:eastAsia="Times New Roman" w:cs="Times New Roman"/>
          <w:i/>
          <w:iCs/>
          <w:color w:val="000000"/>
          <w:szCs w:val="24"/>
          <w:u w:val="single"/>
          <w:lang w:eastAsia="es-CO"/>
        </w:rPr>
        <w:t>constituye un requisito previo para el otorgamiento de la escritura pública</w:t>
      </w:r>
      <w:r w:rsidRPr="00C265F8">
        <w:rPr>
          <w:rFonts w:eastAsia="Times New Roman" w:cs="Times New Roman"/>
          <w:i/>
          <w:iCs/>
          <w:color w:val="000000"/>
          <w:szCs w:val="24"/>
          <w:lang w:eastAsia="es-CO"/>
        </w:rPr>
        <w:t> o la transferencia de derechos o cuotas representativas de bienes inmuebles.</w:t>
      </w:r>
    </w:p>
    <w:p w14:paraId="651219C4"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p>
    <w:p w14:paraId="02736A85"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lastRenderedPageBreak/>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w:t>
      </w:r>
      <w:r w:rsidRPr="00C265F8">
        <w:rPr>
          <w:rFonts w:eastAsia="Times New Roman" w:cs="Times New Roman"/>
          <w:i/>
          <w:iCs/>
          <w:color w:val="000000"/>
          <w:szCs w:val="24"/>
          <w:u w:val="single"/>
          <w:lang w:eastAsia="es-CO"/>
        </w:rPr>
        <w:t>pueda verificar el pago como requisito previo al otorgamiento de la escritura pública</w:t>
      </w:r>
      <w:r w:rsidRPr="00C265F8">
        <w:rPr>
          <w:rFonts w:eastAsia="Times New Roman" w:cs="Times New Roman"/>
          <w:i/>
          <w:iCs/>
          <w:color w:val="000000"/>
          <w:szCs w:val="24"/>
          <w:lang w:eastAsia="es-CO"/>
        </w:rPr>
        <w:t> o la transferencia de derechos o cuotas”. </w:t>
      </w:r>
      <w:r w:rsidRPr="00C265F8">
        <w:rPr>
          <w:rFonts w:eastAsia="Times New Roman" w:cs="Times New Roman"/>
          <w:color w:val="000000"/>
          <w:szCs w:val="24"/>
          <w:lang w:eastAsia="es-CO"/>
        </w:rPr>
        <w:t>(Subrayado fuera de texto).</w:t>
      </w:r>
    </w:p>
    <w:p w14:paraId="20CA1C87"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04B520F8"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De la lectura de la reseñada disposición resulta claro que la retención en la fuente, como requisito previo al otorgamiento de la escritura pública, es exigible en una operación de compraventa de un inmueble, cuando -a la par- el comprador es una persona jurídica o una sociedad de hecho.</w:t>
      </w:r>
    </w:p>
    <w:p w14:paraId="33BE7DDF"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2DEF9B32"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En este sentido, lo contenido en dicho parágrafo no es extensible a aquellos eventos en los que se transfiere la propiedad de un inmueble por causas diferentes a la celebración de un contrato de compraventa (cfr. Oficio 015464 de junio 13 de 2019), como sería el caso de la dación en pago, la cual funge como uno de los modos de extinción de las obligaciones (cfr. artículo 1625 del Código Civil).</w:t>
      </w:r>
    </w:p>
    <w:p w14:paraId="5C219611"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0F870044"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Al respecto, la Corte Suprema de Justicia, Sala de Casación Civil, M.P. Luis Armando Tolosa Villabona, en Sentencia SC5185-2020, Radicación 11001-31-03-001-2016-00214-01, explicó:</w:t>
      </w:r>
    </w:p>
    <w:p w14:paraId="4921EE5E"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p>
    <w:p w14:paraId="35C278CC"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 si se miran las estructuras de la compraventa y de la dación en pago, las dos figuras resultan </w:t>
      </w:r>
      <w:r w:rsidRPr="00C265F8">
        <w:rPr>
          <w:rFonts w:eastAsia="Times New Roman" w:cs="Times New Roman"/>
          <w:i/>
          <w:iCs/>
          <w:color w:val="000000"/>
          <w:szCs w:val="24"/>
          <w:u w:val="single"/>
          <w:lang w:eastAsia="es-CO"/>
        </w:rPr>
        <w:t>dispares</w:t>
      </w:r>
      <w:r w:rsidRPr="00C265F8">
        <w:rPr>
          <w:rFonts w:eastAsia="Times New Roman" w:cs="Times New Roman"/>
          <w:i/>
          <w:iCs/>
          <w:color w:val="000000"/>
          <w:szCs w:val="24"/>
          <w:lang w:eastAsia="es-CO"/>
        </w:rPr>
        <w:t xml:space="preserve"> por cuanto la primera apunta como uno de los negocios jurídicos contemporáneos más importantes cuya finalidad es adquirir una ‘cosa’ o ‘bien’, que conlleva como conducta prestacional esencial a cargo del vendedor, la de dar, como elemento estructural de la obligación (in </w:t>
      </w:r>
      <w:proofErr w:type="spellStart"/>
      <w:r w:rsidRPr="00C265F8">
        <w:rPr>
          <w:rFonts w:eastAsia="Times New Roman" w:cs="Times New Roman"/>
          <w:i/>
          <w:iCs/>
          <w:color w:val="000000"/>
          <w:szCs w:val="24"/>
          <w:lang w:eastAsia="es-CO"/>
        </w:rPr>
        <w:t>obligatione</w:t>
      </w:r>
      <w:proofErr w:type="spellEnd"/>
      <w:r w:rsidRPr="00C265F8">
        <w:rPr>
          <w:rFonts w:eastAsia="Times New Roman" w:cs="Times New Roman"/>
          <w:i/>
          <w:iCs/>
          <w:color w:val="000000"/>
          <w:szCs w:val="24"/>
          <w:lang w:eastAsia="es-CO"/>
        </w:rPr>
        <w:t xml:space="preserve">); mientras la del comprador, la de pagar el precio, claro, cierto y determinado o determinable. La segunda institución como atrás se caracterizó </w:t>
      </w:r>
      <w:proofErr w:type="gramStart"/>
      <w:r w:rsidRPr="00C265F8">
        <w:rPr>
          <w:rFonts w:eastAsia="Times New Roman" w:cs="Times New Roman"/>
          <w:i/>
          <w:iCs/>
          <w:color w:val="000000"/>
          <w:szCs w:val="24"/>
          <w:lang w:eastAsia="es-CO"/>
        </w:rPr>
        <w:t>in extenso</w:t>
      </w:r>
      <w:proofErr w:type="gramEnd"/>
      <w:r w:rsidRPr="00C265F8">
        <w:rPr>
          <w:rFonts w:eastAsia="Times New Roman" w:cs="Times New Roman"/>
          <w:i/>
          <w:iCs/>
          <w:color w:val="000000"/>
          <w:szCs w:val="24"/>
          <w:lang w:eastAsia="es-CO"/>
        </w:rPr>
        <w:t>, tiene como fin económico, </w:t>
      </w:r>
      <w:r w:rsidRPr="00C265F8">
        <w:rPr>
          <w:rFonts w:eastAsia="Times New Roman" w:cs="Times New Roman"/>
          <w:i/>
          <w:iCs/>
          <w:color w:val="000000"/>
          <w:szCs w:val="24"/>
          <w:u w:val="single"/>
          <w:lang w:eastAsia="es-CO"/>
        </w:rPr>
        <w:t xml:space="preserve">extinguir o cumplir una obligación no solventada, por ello es, una modalidad de pago ‘in </w:t>
      </w:r>
      <w:proofErr w:type="spellStart"/>
      <w:r w:rsidRPr="00C265F8">
        <w:rPr>
          <w:rFonts w:eastAsia="Times New Roman" w:cs="Times New Roman"/>
          <w:i/>
          <w:iCs/>
          <w:color w:val="000000"/>
          <w:szCs w:val="24"/>
          <w:u w:val="single"/>
          <w:lang w:eastAsia="es-CO"/>
        </w:rPr>
        <w:t>solutione</w:t>
      </w:r>
      <w:proofErr w:type="spellEnd"/>
      <w:r w:rsidRPr="00C265F8">
        <w:rPr>
          <w:rFonts w:eastAsia="Times New Roman" w:cs="Times New Roman"/>
          <w:i/>
          <w:iCs/>
          <w:color w:val="000000"/>
          <w:szCs w:val="24"/>
          <w:u w:val="single"/>
          <w:lang w:eastAsia="es-CO"/>
        </w:rPr>
        <w:t>’, que procura extinguir una prestación original insatisfecha con una diferente a la inicialmente debida</w:t>
      </w:r>
      <w:r w:rsidRPr="00C265F8">
        <w:rPr>
          <w:rFonts w:eastAsia="Times New Roman" w:cs="Times New Roman"/>
          <w:i/>
          <w:iCs/>
          <w:color w:val="000000"/>
          <w:szCs w:val="24"/>
          <w:lang w:eastAsia="es-CO"/>
        </w:rPr>
        <w:t>.” </w:t>
      </w:r>
      <w:r w:rsidRPr="00C265F8">
        <w:rPr>
          <w:rFonts w:eastAsia="Times New Roman" w:cs="Times New Roman"/>
          <w:color w:val="000000"/>
          <w:szCs w:val="24"/>
          <w:lang w:eastAsia="es-CO"/>
        </w:rPr>
        <w:t>(Subrayado fuera de texto).</w:t>
      </w:r>
    </w:p>
    <w:p w14:paraId="00A0EC20"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388F3C13"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Lo antepuesto desde luego no implica que, en cada caso particular, se deje de evaluar si la dación en pago de un inmueble constituye -en cabeza del beneficiario- un ingreso gravado con el impuesto sobre la renta (cfr. </w:t>
      </w:r>
      <w:hyperlink r:id="rId19" w:tooltip="Estatuto Tributario CETA" w:history="1">
        <w:r w:rsidRPr="00C265F8">
          <w:rPr>
            <w:rFonts w:eastAsia="Times New Roman" w:cs="Times New Roman"/>
            <w:color w:val="0089E1"/>
            <w:szCs w:val="24"/>
            <w:lang w:eastAsia="es-CO"/>
          </w:rPr>
          <w:t>artículo 26</w:t>
        </w:r>
      </w:hyperlink>
      <w:r w:rsidRPr="00C265F8">
        <w:rPr>
          <w:rFonts w:eastAsia="Times New Roman" w:cs="Times New Roman"/>
          <w:color w:val="000000"/>
          <w:szCs w:val="24"/>
          <w:lang w:eastAsia="es-CO"/>
        </w:rPr>
        <w:t> del Estatuto Tributario) y, en esa medida, determinar la retención en la fuente que resultare exigible, según el concepto del pago.</w:t>
      </w:r>
    </w:p>
    <w:p w14:paraId="6A00846F"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b/>
          <w:bCs/>
          <w:color w:val="000000"/>
          <w:szCs w:val="24"/>
          <w:lang w:eastAsia="es-CO"/>
        </w:rPr>
        <w:t> </w:t>
      </w:r>
    </w:p>
    <w:p w14:paraId="30E59255"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b/>
          <w:bCs/>
          <w:color w:val="000000"/>
          <w:szCs w:val="24"/>
          <w:lang w:eastAsia="es-CO"/>
        </w:rPr>
        <w:t>2.2. </w:t>
      </w:r>
      <w:r w:rsidRPr="00C265F8">
        <w:rPr>
          <w:rFonts w:eastAsia="Times New Roman" w:cs="Times New Roman"/>
          <w:b/>
          <w:bCs/>
          <w:i/>
          <w:iCs/>
          <w:color w:val="000000"/>
          <w:szCs w:val="24"/>
          <w:lang w:eastAsia="es-CO"/>
        </w:rPr>
        <w:t>“En los eventos en los que se presenta </w:t>
      </w:r>
      <w:r w:rsidRPr="00C265F8">
        <w:rPr>
          <w:rFonts w:eastAsia="Times New Roman" w:cs="Times New Roman"/>
          <w:b/>
          <w:bCs/>
          <w:i/>
          <w:iCs/>
          <w:color w:val="000000"/>
          <w:szCs w:val="24"/>
          <w:u w:val="single"/>
          <w:lang w:eastAsia="es-CO"/>
        </w:rPr>
        <w:t>adjudicación por remate judicial</w:t>
      </w:r>
      <w:r w:rsidRPr="00C265F8">
        <w:rPr>
          <w:rFonts w:eastAsia="Times New Roman" w:cs="Times New Roman"/>
          <w:b/>
          <w:bCs/>
          <w:i/>
          <w:iCs/>
          <w:color w:val="000000"/>
          <w:szCs w:val="24"/>
          <w:lang w:eastAsia="es-CO"/>
        </w:rPr>
        <w:t> no se debe exigir la presentación del recibo de pago de la retención en la fuente del </w:t>
      </w:r>
      <w:hyperlink r:id="rId20" w:tooltip="Estatuto Tributario CETA" w:history="1">
        <w:r w:rsidRPr="00C265F8">
          <w:rPr>
            <w:rFonts w:eastAsia="Times New Roman" w:cs="Times New Roman"/>
            <w:b/>
            <w:bCs/>
            <w:i/>
            <w:iCs/>
            <w:color w:val="0089E1"/>
            <w:szCs w:val="24"/>
            <w:lang w:eastAsia="es-CO"/>
          </w:rPr>
          <w:t>artículo 401</w:t>
        </w:r>
      </w:hyperlink>
      <w:r w:rsidRPr="00C265F8">
        <w:rPr>
          <w:rFonts w:eastAsia="Times New Roman" w:cs="Times New Roman"/>
          <w:b/>
          <w:bCs/>
          <w:i/>
          <w:iCs/>
          <w:color w:val="000000"/>
          <w:szCs w:val="24"/>
          <w:lang w:eastAsia="es-CO"/>
        </w:rPr>
        <w:t> del E.T., razón por la cual los notarios no deben exigir en este evento su presentación para autorizar la escritura pública por la cual </w:t>
      </w:r>
      <w:r w:rsidRPr="00C265F8">
        <w:rPr>
          <w:rFonts w:eastAsia="Times New Roman" w:cs="Times New Roman"/>
          <w:b/>
          <w:bCs/>
          <w:i/>
          <w:iCs/>
          <w:color w:val="000000"/>
          <w:szCs w:val="24"/>
          <w:u w:val="single"/>
          <w:lang w:eastAsia="es-CO"/>
        </w:rPr>
        <w:t xml:space="preserve">se traslada el bien como forma alternativa de extinguir la </w:t>
      </w:r>
      <w:r w:rsidRPr="00C265F8">
        <w:rPr>
          <w:rFonts w:eastAsia="Times New Roman" w:cs="Times New Roman"/>
          <w:b/>
          <w:bCs/>
          <w:i/>
          <w:iCs/>
          <w:color w:val="000000"/>
          <w:szCs w:val="24"/>
          <w:u w:val="single"/>
          <w:lang w:eastAsia="es-CO"/>
        </w:rPr>
        <w:lastRenderedPageBreak/>
        <w:t>obligación de pago del crédito en cabeza de la entidad financiera.</w:t>
      </w:r>
      <w:r w:rsidRPr="00C265F8">
        <w:rPr>
          <w:rFonts w:eastAsia="Times New Roman" w:cs="Times New Roman"/>
          <w:b/>
          <w:bCs/>
          <w:i/>
          <w:iCs/>
          <w:color w:val="000000"/>
          <w:szCs w:val="24"/>
          <w:lang w:eastAsia="es-CO"/>
        </w:rPr>
        <w:t>” </w:t>
      </w:r>
      <w:r w:rsidRPr="00C265F8">
        <w:rPr>
          <w:rFonts w:eastAsia="Times New Roman" w:cs="Times New Roman"/>
          <w:b/>
          <w:bCs/>
          <w:color w:val="000000"/>
          <w:szCs w:val="24"/>
          <w:lang w:eastAsia="es-CO"/>
        </w:rPr>
        <w:t>(Subrayado fuera de texto).</w:t>
      </w:r>
    </w:p>
    <w:p w14:paraId="722B91F4"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0C8B3DFF"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La Corte Constitucional, M.P. LUIS ERNESTO VARGAS SILVA, en Sentencia T-323/14 manifestó:</w:t>
      </w:r>
    </w:p>
    <w:p w14:paraId="54D618F5"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p>
    <w:p w14:paraId="3488471F"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“13. El remate es considerado en el ordenamiento jurídico colombiano como una forma de las ‘</w:t>
      </w:r>
      <w:r w:rsidRPr="00C265F8">
        <w:rPr>
          <w:rFonts w:eastAsia="Times New Roman" w:cs="Times New Roman"/>
          <w:i/>
          <w:iCs/>
          <w:color w:val="000000"/>
          <w:szCs w:val="24"/>
          <w:u w:val="single"/>
          <w:lang w:eastAsia="es-CO"/>
        </w:rPr>
        <w:t>ventas forzadas</w:t>
      </w:r>
      <w:r w:rsidRPr="00C265F8">
        <w:rPr>
          <w:rFonts w:eastAsia="Times New Roman" w:cs="Times New Roman"/>
          <w:i/>
          <w:iCs/>
          <w:color w:val="000000"/>
          <w:szCs w:val="24"/>
          <w:lang w:eastAsia="es-CO"/>
        </w:rPr>
        <w:t> que se hacen por decreto judicial a petición de un acreedor, en pública subasta’, en los términos del artículo 741 del Código Civil (…). Sin embargo, la específica delimitación de la naturaleza jurídica del remate ha sido objeto de </w:t>
      </w:r>
      <w:r w:rsidRPr="00C265F8">
        <w:rPr>
          <w:rFonts w:eastAsia="Times New Roman" w:cs="Times New Roman"/>
          <w:i/>
          <w:iCs/>
          <w:color w:val="000000"/>
          <w:szCs w:val="24"/>
          <w:u w:val="single"/>
          <w:lang w:eastAsia="es-CO"/>
        </w:rPr>
        <w:t>múltiples controversias</w:t>
      </w:r>
      <w:r w:rsidRPr="00C265F8">
        <w:rPr>
          <w:rFonts w:eastAsia="Times New Roman" w:cs="Times New Roman"/>
          <w:i/>
          <w:iCs/>
          <w:color w:val="000000"/>
          <w:szCs w:val="24"/>
          <w:lang w:eastAsia="es-CO"/>
        </w:rPr>
        <w:t>, tanto en la doctrina como en la jurisprudencia, por causa de ese </w:t>
      </w:r>
      <w:r w:rsidRPr="00C265F8">
        <w:rPr>
          <w:rFonts w:eastAsia="Times New Roman" w:cs="Times New Roman"/>
          <w:i/>
          <w:iCs/>
          <w:color w:val="000000"/>
          <w:szCs w:val="24"/>
          <w:u w:val="single"/>
          <w:lang w:eastAsia="es-CO"/>
        </w:rPr>
        <w:t>doble carácter sustancial y procesal.</w:t>
      </w:r>
    </w:p>
    <w:p w14:paraId="6B1D3B1D"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p>
    <w:p w14:paraId="5B71B2FB"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14. De este modo, el remate ha sido visto por algunos como un acto procesal más dentro de un proceso ejecutivo, como un negocio jurídico en tanto que está constituido por un conjunto de actos de naturaleza contractual o, </w:t>
      </w:r>
      <w:r w:rsidRPr="00C265F8">
        <w:rPr>
          <w:rFonts w:eastAsia="Times New Roman" w:cs="Times New Roman"/>
          <w:i/>
          <w:iCs/>
          <w:color w:val="000000"/>
          <w:szCs w:val="24"/>
          <w:u w:val="single"/>
          <w:lang w:eastAsia="es-CO"/>
        </w:rPr>
        <w:t>incluso, como una forma especial de compraventa.</w:t>
      </w:r>
      <w:r w:rsidRPr="00C265F8">
        <w:rPr>
          <w:rFonts w:eastAsia="Times New Roman" w:cs="Times New Roman"/>
          <w:i/>
          <w:iCs/>
          <w:color w:val="000000"/>
          <w:szCs w:val="24"/>
          <w:lang w:eastAsia="es-CO"/>
        </w:rPr>
        <w:t> Atendiendo a esta naturaleza jurídica compleja, desde tiempo atrás la jurisprudencia civil nacional ha considerado al remate como un ‘</w:t>
      </w:r>
      <w:r w:rsidRPr="00C265F8">
        <w:rPr>
          <w:rFonts w:eastAsia="Times New Roman" w:cs="Times New Roman"/>
          <w:i/>
          <w:iCs/>
          <w:color w:val="000000"/>
          <w:szCs w:val="24"/>
          <w:u w:val="single"/>
          <w:lang w:eastAsia="es-CO"/>
        </w:rPr>
        <w:t>fenómeno híbrido en el cual se combinan elementos del derecho civil y del derecho procesal</w:t>
      </w:r>
      <w:r w:rsidRPr="00C265F8">
        <w:rPr>
          <w:rFonts w:eastAsia="Times New Roman" w:cs="Times New Roman"/>
          <w:i/>
          <w:iCs/>
          <w:color w:val="000000"/>
          <w:szCs w:val="24"/>
          <w:lang w:eastAsia="es-CO"/>
        </w:rPr>
        <w:t>, y como corolario la posibilidad de la doble impugnación, es decir, sustancial y procesal’.</w:t>
      </w:r>
    </w:p>
    <w:p w14:paraId="33EC334E"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p>
    <w:p w14:paraId="0779154D"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 xml:space="preserve">15. Esta posibilidad de doble impugnación implica, entonces, que aquellas irregularidades que afecten la forma propia del trámite del remate dentro del proceso ejecutivo, (es decir, aquellas que vicien al remate en su faceta procesal), deberán ser alegadas en el marco de dicho proceso en su carácter de nulidades procesales. Por su parte, aquellos vicios que se presenten </w:t>
      </w:r>
      <w:proofErr w:type="gramStart"/>
      <w:r w:rsidRPr="00C265F8">
        <w:rPr>
          <w:rFonts w:eastAsia="Times New Roman" w:cs="Times New Roman"/>
          <w:i/>
          <w:iCs/>
          <w:color w:val="000000"/>
          <w:szCs w:val="24"/>
          <w:lang w:eastAsia="es-CO"/>
        </w:rPr>
        <w:t>en relación a</w:t>
      </w:r>
      <w:proofErr w:type="gramEnd"/>
      <w:r w:rsidRPr="00C265F8">
        <w:rPr>
          <w:rFonts w:eastAsia="Times New Roman" w:cs="Times New Roman"/>
          <w:i/>
          <w:iCs/>
          <w:color w:val="000000"/>
          <w:szCs w:val="24"/>
          <w:lang w:eastAsia="es-CO"/>
        </w:rPr>
        <w:t xml:space="preserve"> los aspectos sustanciales del remate, (esto es, como </w:t>
      </w:r>
      <w:r w:rsidRPr="00C265F8">
        <w:rPr>
          <w:rFonts w:eastAsia="Times New Roman" w:cs="Times New Roman"/>
          <w:i/>
          <w:iCs/>
          <w:color w:val="000000"/>
          <w:szCs w:val="24"/>
          <w:u w:val="single"/>
          <w:lang w:eastAsia="es-CO"/>
        </w:rPr>
        <w:t>acto jurídico civil de venta</w:t>
      </w:r>
      <w:r w:rsidRPr="00C265F8">
        <w:rPr>
          <w:rFonts w:eastAsia="Times New Roman" w:cs="Times New Roman"/>
          <w:i/>
          <w:iCs/>
          <w:color w:val="000000"/>
          <w:szCs w:val="24"/>
          <w:lang w:eastAsia="es-CO"/>
        </w:rPr>
        <w:t>) y que, por tanto, constituirán nulidades sustanciales, absolutas o relativas según el caso, deberán ser resueltas por la vía del proceso ordinario”. </w:t>
      </w:r>
      <w:r w:rsidRPr="00C265F8">
        <w:rPr>
          <w:rFonts w:eastAsia="Times New Roman" w:cs="Times New Roman"/>
          <w:color w:val="000000"/>
          <w:szCs w:val="24"/>
          <w:lang w:eastAsia="es-CO"/>
        </w:rPr>
        <w:t>(Subrayado fuera de texto).</w:t>
      </w:r>
    </w:p>
    <w:p w14:paraId="4B32D5E8"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78450230"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Por su parte, la Corte Suprema de Justicia, Sala de Casación Civil, M.P. Luis Armando Tolosa Villabona, en Sentencia STC8034-2017, Radicación 11001-22-10-000-2017-00252-01, indicó:</w:t>
      </w:r>
    </w:p>
    <w:p w14:paraId="0A71F4A3"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p>
    <w:p w14:paraId="50C2B4CE"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“Téngase en cuenta que el juez funge como representante del ejecutado en el remate y al ostentar tal calidad, debe procurar la </w:t>
      </w:r>
      <w:r w:rsidRPr="00C265F8">
        <w:rPr>
          <w:rFonts w:eastAsia="Times New Roman" w:cs="Times New Roman"/>
          <w:i/>
          <w:iCs/>
          <w:color w:val="000000"/>
          <w:szCs w:val="24"/>
          <w:u w:val="single"/>
          <w:lang w:eastAsia="es-CO"/>
        </w:rPr>
        <w:t>enajenación del bien</w:t>
      </w:r>
      <w:r w:rsidRPr="00C265F8">
        <w:rPr>
          <w:rFonts w:eastAsia="Times New Roman" w:cs="Times New Roman"/>
          <w:i/>
          <w:iCs/>
          <w:color w:val="000000"/>
          <w:szCs w:val="24"/>
          <w:lang w:eastAsia="es-CO"/>
        </w:rPr>
        <w:t> exento de todo gravamen.</w:t>
      </w:r>
    </w:p>
    <w:p w14:paraId="589F2763"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Sobre lo discurrido, esta Corte ha expuesto:</w:t>
      </w:r>
    </w:p>
    <w:p w14:paraId="6CB6F806"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p>
    <w:p w14:paraId="4255F012"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 El remate de bienes, como lo tiene dicho la jurisprudencia, </w:t>
      </w:r>
      <w:r w:rsidRPr="00C265F8">
        <w:rPr>
          <w:rFonts w:eastAsia="Times New Roman" w:cs="Times New Roman"/>
          <w:i/>
          <w:iCs/>
          <w:color w:val="000000"/>
          <w:szCs w:val="24"/>
          <w:u w:val="single"/>
          <w:lang w:eastAsia="es-CO"/>
        </w:rPr>
        <w:t>corresponde a una venta en la que, por fuerza de la ley, el juez que lo practica actúa en representación del vendedor</w:t>
      </w:r>
      <w:r w:rsidRPr="00C265F8">
        <w:rPr>
          <w:rFonts w:eastAsia="Times New Roman" w:cs="Times New Roman"/>
          <w:i/>
          <w:iCs/>
          <w:color w:val="000000"/>
          <w:szCs w:val="24"/>
          <w:lang w:eastAsia="es-CO"/>
        </w:rPr>
        <w:t> y, por ende, debe velar por que, como en toda enajenación, su objeto sea entregado al comprador (rematante) libre de todo gravamen. (…)’.</w:t>
      </w:r>
    </w:p>
    <w:p w14:paraId="75E7BFF9"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lastRenderedPageBreak/>
        <w:t> </w:t>
      </w:r>
    </w:p>
    <w:p w14:paraId="56BCA0B4" w14:textId="77777777" w:rsidR="00C265F8" w:rsidRPr="00C265F8" w:rsidRDefault="00C265F8" w:rsidP="00C265F8">
      <w:pPr>
        <w:spacing w:after="0" w:line="360" w:lineRule="auto"/>
        <w:ind w:left="284"/>
        <w:jc w:val="both"/>
        <w:rPr>
          <w:rFonts w:eastAsia="Times New Roman" w:cs="Times New Roman"/>
          <w:color w:val="000000"/>
          <w:szCs w:val="24"/>
          <w:lang w:eastAsia="es-CO"/>
        </w:rPr>
      </w:pPr>
      <w:r w:rsidRPr="00C265F8">
        <w:rPr>
          <w:rFonts w:eastAsia="Times New Roman" w:cs="Times New Roman"/>
          <w:i/>
          <w:iCs/>
          <w:color w:val="000000"/>
          <w:szCs w:val="24"/>
          <w:lang w:eastAsia="es-CO"/>
        </w:rPr>
        <w:t>(…)”. </w:t>
      </w:r>
      <w:r w:rsidRPr="00C265F8">
        <w:rPr>
          <w:rFonts w:eastAsia="Times New Roman" w:cs="Times New Roman"/>
          <w:color w:val="000000"/>
          <w:szCs w:val="24"/>
          <w:lang w:eastAsia="es-CO"/>
        </w:rPr>
        <w:t>(Subrayado fuera de texto).</w:t>
      </w:r>
    </w:p>
    <w:p w14:paraId="1D6DECF0"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1D277AF9"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Con base en las antepuestas citas jurisprudenciales y, sin desconocer el carácter híbrido del remate judicial, observa este Despacho que el mismo corresponde, a fin de cuentas, a una venta. Por tal razón, se considera aplicable lo previsto en el parágrafo del </w:t>
      </w:r>
      <w:hyperlink r:id="rId21" w:tooltip="Estatuto Tributario CETA" w:history="1">
        <w:r w:rsidRPr="00C265F8">
          <w:rPr>
            <w:rFonts w:eastAsia="Times New Roman" w:cs="Times New Roman"/>
            <w:color w:val="0089E1"/>
            <w:szCs w:val="24"/>
            <w:lang w:eastAsia="es-CO"/>
          </w:rPr>
          <w:t>artículo 401</w:t>
        </w:r>
      </w:hyperlink>
      <w:r w:rsidRPr="00C265F8">
        <w:rPr>
          <w:rFonts w:eastAsia="Times New Roman" w:cs="Times New Roman"/>
          <w:color w:val="000000"/>
          <w:szCs w:val="24"/>
          <w:lang w:eastAsia="es-CO"/>
        </w:rPr>
        <w:t> del Estatuto Tributario cuando el inmueble se ha adjudicado a una persona jurídica o sociedad de hecho en su condición de rematante (comprador).</w:t>
      </w:r>
    </w:p>
    <w:p w14:paraId="0EA55663"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6651828F"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Atentamente,</w:t>
      </w:r>
    </w:p>
    <w:p w14:paraId="600A8BE7"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0FA60299"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 </w:t>
      </w:r>
    </w:p>
    <w:p w14:paraId="6EBE6DB6"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b/>
          <w:bCs/>
          <w:color w:val="000000"/>
          <w:szCs w:val="24"/>
          <w:lang w:eastAsia="es-CO"/>
        </w:rPr>
        <w:t>NICOLÁS BERNAL ABELLA</w:t>
      </w:r>
    </w:p>
    <w:p w14:paraId="1A83DFEC"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Subdirector de Normativa y Doctrina (E)</w:t>
      </w:r>
    </w:p>
    <w:p w14:paraId="50321D80"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Dirección de Gestión Jurídica</w:t>
      </w:r>
    </w:p>
    <w:p w14:paraId="2DA29D41" w14:textId="77777777" w:rsidR="00C265F8" w:rsidRPr="00C265F8" w:rsidRDefault="00C265F8" w:rsidP="00C265F8">
      <w:pPr>
        <w:spacing w:after="0" w:line="360" w:lineRule="auto"/>
        <w:jc w:val="both"/>
        <w:rPr>
          <w:rFonts w:eastAsia="Times New Roman" w:cs="Times New Roman"/>
          <w:color w:val="000000"/>
          <w:szCs w:val="24"/>
          <w:lang w:eastAsia="es-CO"/>
        </w:rPr>
      </w:pPr>
      <w:r w:rsidRPr="00C265F8">
        <w:rPr>
          <w:rFonts w:eastAsia="Times New Roman" w:cs="Times New Roman"/>
          <w:color w:val="000000"/>
          <w:szCs w:val="24"/>
          <w:lang w:eastAsia="es-CO"/>
        </w:rPr>
        <w:t>UAE-Dirección de Impuestos y Aduanas Nacionales</w:t>
      </w:r>
    </w:p>
    <w:p w14:paraId="6AE33A0C" w14:textId="77777777" w:rsidR="007F5CC8" w:rsidRPr="00C265F8" w:rsidRDefault="007F5CC8" w:rsidP="00C265F8">
      <w:pPr>
        <w:spacing w:line="360" w:lineRule="auto"/>
        <w:rPr>
          <w:rFonts w:cs="Times New Roman"/>
          <w:szCs w:val="24"/>
        </w:rPr>
      </w:pPr>
    </w:p>
    <w:sectPr w:rsidR="007F5CC8" w:rsidRPr="00C265F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F8"/>
    <w:rsid w:val="000F3837"/>
    <w:rsid w:val="001E311E"/>
    <w:rsid w:val="002D1EF1"/>
    <w:rsid w:val="00434AE6"/>
    <w:rsid w:val="007E3E8B"/>
    <w:rsid w:val="007F5CC8"/>
    <w:rsid w:val="008779BE"/>
    <w:rsid w:val="00C265F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E291"/>
  <w15:chartTrackingRefBased/>
  <w15:docId w15:val="{B25693EA-8016-4946-BBF3-B2B19CD4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88" TargetMode="External"/><Relationship Id="rId13" Type="http://schemas.openxmlformats.org/officeDocument/2006/relationships/hyperlink" Target="https://www.ceta.org.co/html/vista_de_un_articulo.asp?Norma=42470" TargetMode="External"/><Relationship Id="rId18" Type="http://schemas.openxmlformats.org/officeDocument/2006/relationships/hyperlink" Target="https://www.ceta.org.co/html/vista_de_un_articulo.asp?Norma=496"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96" TargetMode="External"/><Relationship Id="rId7" Type="http://schemas.openxmlformats.org/officeDocument/2006/relationships/hyperlink" Target="https://www.ceta.org.co/html/vista_de_un_articulo.asp?Norma=496" TargetMode="External"/><Relationship Id="rId12" Type="http://schemas.openxmlformats.org/officeDocument/2006/relationships/hyperlink" Target="https://www.ceta.org.co/html/vista_de_un_articulo.asp?Norma=188" TargetMode="External"/><Relationship Id="rId17" Type="http://schemas.openxmlformats.org/officeDocument/2006/relationships/hyperlink" Target="https://www.ceta.org.co/html/vista_de_un_articulo.asp?Norma=496" TargetMode="External"/><Relationship Id="rId2" Type="http://schemas.openxmlformats.org/officeDocument/2006/relationships/settings" Target="settings.xml"/><Relationship Id="rId16" Type="http://schemas.openxmlformats.org/officeDocument/2006/relationships/hyperlink" Target="https://www.ceta.org.co/html/vista_de_un_articulo.asp?Norma=496" TargetMode="External"/><Relationship Id="rId20" Type="http://schemas.openxmlformats.org/officeDocument/2006/relationships/hyperlink" Target="https://www.ceta.org.co/html/vista_de_un_articulo.asp?Norma=496" TargetMode="External"/><Relationship Id="rId1" Type="http://schemas.openxmlformats.org/officeDocument/2006/relationships/styles" Target="styles.xml"/><Relationship Id="rId6" Type="http://schemas.openxmlformats.org/officeDocument/2006/relationships/hyperlink" Target="https://www.ceta.org.co/html/vista_de_un_articulo.asp?Norma=496" TargetMode="External"/><Relationship Id="rId11" Type="http://schemas.openxmlformats.org/officeDocument/2006/relationships/hyperlink" Target="https://www.ceta.org.co/html/vista_de_un_articulo.asp?Norma=496" TargetMode="External"/><Relationship Id="rId5" Type="http://schemas.openxmlformats.org/officeDocument/2006/relationships/hyperlink" Target="https://www.ceta.org.co/html/vista_de_un_articulo.asp?Norma=188" TargetMode="External"/><Relationship Id="rId15" Type="http://schemas.openxmlformats.org/officeDocument/2006/relationships/hyperlink" Target="https://www.ceta.org.co/html/vista_de_un_articulo.asp?Norma=188" TargetMode="External"/><Relationship Id="rId23" Type="http://schemas.openxmlformats.org/officeDocument/2006/relationships/theme" Target="theme/theme1.xml"/><Relationship Id="rId10" Type="http://schemas.openxmlformats.org/officeDocument/2006/relationships/hyperlink" Target="https://www.ceta.org.co/html/vista_de_un_articulo.asp?Norma=496" TargetMode="External"/><Relationship Id="rId19" Type="http://schemas.openxmlformats.org/officeDocument/2006/relationships/hyperlink" Target="https://www.ceta.org.co/html/vista_de_un_articulo.asp?Norma=56"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56" TargetMode="External"/><Relationship Id="rId14" Type="http://schemas.openxmlformats.org/officeDocument/2006/relationships/hyperlink" Target="https://www.ceta.org.co/html/vista_de_un_articulo.asp?Norma=58"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3046</Words>
  <Characters>16755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2022-05-05T00:15:00Z</dcterms:created>
  <dcterms:modified xsi:type="dcterms:W3CDTF">2022-05-27T20:36:00Z</dcterms:modified>
</cp:coreProperties>
</file>