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jc w:val="center"/>
        <w:rPr>
          <w:rFonts w:ascii="Times New Roman" w:eastAsia="Times New Roman" w:hAnsi="Times New Roman" w:cs="Times New Roman"/>
          <w:sz w:val="24"/>
          <w:szCs w:val="24"/>
          <w:lang w:eastAsia="es-CO"/>
        </w:rPr>
      </w:pPr>
      <w:r w:rsidRPr="004A3665">
        <w:rPr>
          <w:rFonts w:ascii="Times New Roman" w:eastAsia="Times New Roman" w:hAnsi="Times New Roman" w:cs="Times New Roman"/>
          <w:b/>
          <w:bCs/>
          <w:sz w:val="24"/>
          <w:szCs w:val="24"/>
          <w:lang w:eastAsia="es-CO"/>
        </w:rPr>
        <w:t xml:space="preserve">OFICIO </w:t>
      </w:r>
      <w:proofErr w:type="spellStart"/>
      <w:r w:rsidRPr="004A3665">
        <w:rPr>
          <w:rFonts w:ascii="Times New Roman" w:eastAsia="Times New Roman" w:hAnsi="Times New Roman" w:cs="Times New Roman"/>
          <w:b/>
          <w:bCs/>
          <w:sz w:val="24"/>
          <w:szCs w:val="24"/>
          <w:lang w:eastAsia="es-CO"/>
        </w:rPr>
        <w:t>Nº</w:t>
      </w:r>
      <w:proofErr w:type="spellEnd"/>
      <w:r w:rsidRPr="004A3665">
        <w:rPr>
          <w:rFonts w:ascii="Times New Roman" w:eastAsia="Times New Roman" w:hAnsi="Times New Roman" w:cs="Times New Roman"/>
          <w:b/>
          <w:bCs/>
          <w:sz w:val="24"/>
          <w:szCs w:val="24"/>
          <w:lang w:eastAsia="es-CO"/>
        </w:rPr>
        <w:t xml:space="preserve"> 2024 [020445]</w:t>
      </w:r>
    </w:p>
    <w:p w:rsidR="004A3665" w:rsidRPr="004A3665" w:rsidRDefault="004A3665" w:rsidP="004A3665">
      <w:pPr>
        <w:spacing w:after="0" w:line="240" w:lineRule="auto"/>
        <w:jc w:val="center"/>
        <w:rPr>
          <w:rFonts w:ascii="Times New Roman" w:eastAsia="Times New Roman" w:hAnsi="Times New Roman" w:cs="Times New Roman"/>
          <w:sz w:val="24"/>
          <w:szCs w:val="24"/>
          <w:lang w:eastAsia="es-CO"/>
        </w:rPr>
      </w:pPr>
      <w:r w:rsidRPr="004A3665">
        <w:rPr>
          <w:rFonts w:ascii="Times New Roman" w:eastAsia="Times New Roman" w:hAnsi="Times New Roman" w:cs="Times New Roman"/>
          <w:b/>
          <w:bCs/>
          <w:sz w:val="24"/>
          <w:szCs w:val="24"/>
          <w:lang w:eastAsia="es-CO"/>
        </w:rPr>
        <w:t>16-08-2019</w:t>
      </w:r>
    </w:p>
    <w:p w:rsidR="004A3665" w:rsidRPr="004A3665" w:rsidRDefault="004A3665" w:rsidP="004A3665">
      <w:pPr>
        <w:spacing w:after="0" w:line="240" w:lineRule="auto"/>
        <w:jc w:val="center"/>
        <w:rPr>
          <w:rFonts w:ascii="Times New Roman" w:eastAsia="Times New Roman" w:hAnsi="Times New Roman" w:cs="Times New Roman"/>
          <w:sz w:val="24"/>
          <w:szCs w:val="24"/>
          <w:lang w:eastAsia="es-CO"/>
        </w:rPr>
      </w:pPr>
      <w:r w:rsidRPr="004A3665">
        <w:rPr>
          <w:rFonts w:ascii="Times New Roman" w:eastAsia="Times New Roman" w:hAnsi="Times New Roman" w:cs="Times New Roman"/>
          <w:b/>
          <w:bCs/>
          <w:sz w:val="24"/>
          <w:szCs w:val="24"/>
          <w:lang w:eastAsia="es-CO"/>
        </w:rPr>
        <w:t>DIAN</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Subdirección de Gestión Normativa y Doctrina</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100208221– 002024</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Bogotá, D.C.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roofErr w:type="spellStart"/>
      <w:r w:rsidRPr="004A3665">
        <w:rPr>
          <w:rFonts w:ascii="Times New Roman" w:eastAsia="Times New Roman" w:hAnsi="Times New Roman" w:cs="Times New Roman"/>
          <w:b/>
          <w:bCs/>
          <w:sz w:val="24"/>
          <w:szCs w:val="24"/>
          <w:lang w:eastAsia="es-CO"/>
        </w:rPr>
        <w:t>Ref</w:t>
      </w:r>
      <w:proofErr w:type="spellEnd"/>
      <w:r w:rsidRPr="004A3665">
        <w:rPr>
          <w:rFonts w:ascii="Times New Roman" w:eastAsia="Times New Roman" w:hAnsi="Times New Roman" w:cs="Times New Roman"/>
          <w:b/>
          <w:bCs/>
          <w:sz w:val="24"/>
          <w:szCs w:val="24"/>
          <w:lang w:eastAsia="es-CO"/>
        </w:rPr>
        <w:t>:</w:t>
      </w:r>
      <w:r w:rsidRPr="004A3665">
        <w:rPr>
          <w:rFonts w:ascii="Times New Roman" w:eastAsia="Times New Roman" w:hAnsi="Times New Roman" w:cs="Times New Roman"/>
          <w:sz w:val="24"/>
          <w:szCs w:val="24"/>
          <w:lang w:eastAsia="es-CO"/>
        </w:rPr>
        <w:t> Radicado 100045542 del 05/07/2019</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tbl>
      <w:tblPr>
        <w:tblW w:w="0" w:type="auto"/>
        <w:tblCellMar>
          <w:left w:w="0" w:type="dxa"/>
          <w:right w:w="0" w:type="dxa"/>
        </w:tblCellMar>
        <w:tblLook w:val="04A0" w:firstRow="1" w:lastRow="0" w:firstColumn="1" w:lastColumn="0" w:noHBand="0" w:noVBand="1"/>
      </w:tblPr>
      <w:tblGrid>
        <w:gridCol w:w="2809"/>
        <w:gridCol w:w="222"/>
        <w:gridCol w:w="222"/>
        <w:gridCol w:w="5128"/>
      </w:tblGrid>
      <w:tr w:rsidR="004A3665" w:rsidRPr="004A3665" w:rsidTr="004A3665">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b/>
                <w:bCs/>
                <w:sz w:val="24"/>
                <w:szCs w:val="24"/>
                <w:lang w:eastAsia="es-CO"/>
              </w:rPr>
              <w:t>Tema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Procedimiento Tributario</w:t>
            </w:r>
          </w:p>
        </w:tc>
      </w:tr>
      <w:tr w:rsidR="004A3665" w:rsidRPr="004A3665" w:rsidTr="004A3665">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b/>
                <w:bCs/>
                <w:sz w:val="24"/>
                <w:szCs w:val="24"/>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Presentación de Declaraciones Tributarias – Plazos</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Solicitud de Devolución Y/O Compensación</w:t>
            </w:r>
          </w:p>
        </w:tc>
      </w:tr>
      <w:tr w:rsidR="004A3665" w:rsidRPr="004A3665" w:rsidTr="004A3665">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b/>
                <w:bCs/>
                <w:sz w:val="24"/>
                <w:szCs w:val="24"/>
                <w:lang w:eastAsia="es-CO"/>
              </w:rPr>
              <w:t>Fuentes formales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rPr>
                <w:rFonts w:ascii="Times New Roman" w:eastAsia="Times New Roman" w:hAnsi="Times New Roman" w:cs="Times New Roman"/>
                <w:sz w:val="24"/>
                <w:szCs w:val="24"/>
                <w:lang w:eastAsia="es-CO"/>
              </w:rPr>
            </w:pPr>
          </w:p>
        </w:tc>
        <w:tc>
          <w:tcPr>
            <w:tcW w:w="0" w:type="auto"/>
            <w:tcBorders>
              <w:top w:val="nil"/>
              <w:left w:val="nil"/>
              <w:bottom w:val="nil"/>
              <w:right w:val="nil"/>
            </w:tcBorders>
            <w:shd w:val="clear" w:color="auto" w:fill="auto"/>
            <w:tcMar>
              <w:top w:w="0" w:type="dxa"/>
              <w:left w:w="108" w:type="dxa"/>
              <w:bottom w:w="0" w:type="dxa"/>
              <w:right w:w="108" w:type="dxa"/>
            </w:tcMar>
            <w:hideMark/>
          </w:tcPr>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hyperlink r:id="rId4" w:tooltip="Estatuto Tributario CETA" w:history="1">
              <w:r w:rsidRPr="004A3665">
                <w:rPr>
                  <w:rFonts w:ascii="Times New Roman" w:eastAsia="Times New Roman" w:hAnsi="Times New Roman" w:cs="Times New Roman"/>
                  <w:sz w:val="24"/>
                  <w:szCs w:val="24"/>
                  <w:u w:val="single"/>
                  <w:lang w:eastAsia="es-CO"/>
                </w:rPr>
                <w:t>Artículo 326</w:t>
              </w:r>
            </w:hyperlink>
            <w:r w:rsidRPr="004A3665">
              <w:rPr>
                <w:rFonts w:ascii="Times New Roman" w:eastAsia="Times New Roman" w:hAnsi="Times New Roman" w:cs="Times New Roman"/>
                <w:sz w:val="24"/>
                <w:szCs w:val="24"/>
                <w:lang w:eastAsia="es-CO"/>
              </w:rPr>
              <w:t> del Estatuto Tributario</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Artículo 1.6.1.13.2.19. del Decreto 1625 de 2016</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Concepto No. 019871 de 2002</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Concepto No. 000190 de 2015</w:t>
            </w:r>
          </w:p>
        </w:tc>
      </w:tr>
    </w:tbl>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xml:space="preserve">Estimado señor </w:t>
      </w:r>
      <w:proofErr w:type="spellStart"/>
      <w:r w:rsidRPr="004A3665">
        <w:rPr>
          <w:rFonts w:ascii="Times New Roman" w:eastAsia="Times New Roman" w:hAnsi="Times New Roman" w:cs="Times New Roman"/>
          <w:sz w:val="24"/>
          <w:szCs w:val="24"/>
          <w:lang w:eastAsia="es-CO"/>
        </w:rPr>
        <w:t>Baum</w:t>
      </w:r>
      <w:proofErr w:type="spellEnd"/>
      <w:r w:rsidRPr="004A3665">
        <w:rPr>
          <w:rFonts w:ascii="Times New Roman" w:eastAsia="Times New Roman" w:hAnsi="Times New Roman" w:cs="Times New Roman"/>
          <w:sz w:val="24"/>
          <w:szCs w:val="24"/>
          <w:lang w:eastAsia="es-CO"/>
        </w:rPr>
        <w:t>:</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De conformidad con lo preceptuado en el artículo 20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Previo a analizar la consulta planteada, consideramos necesario explicar que, de acuerdo con las competencias funcionales de este despacho los pronunciamientos emitidos en respuesta a peticiones allegadas se resuelven con base a criterios legales de interpretación de las normas jurídicas, los cuales se encuentran consagrados en el Código Civil.</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Así mismo, las respuestas emitidas son una adecuación en abstracto de las normas vigentes a situaciones concretas, las cuales no tienen como fin solucionar problemáticas individuales, ni juzgar, valorar o asesorar a otras dependencias, entidades públicas y/o privadas en el desarrollo de sus actividades, funciones y competencias.</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Mediante escrito radicado 100045542 del 7 de julio de dos mil diecinueve (2019) esta Subdirección recibió una consulta por medio de la cual se solicita aclarar las siguientes inquietudes relacionadas con la sustitución o cancelación de la inversión extranjera directa, así como la inadmisión de la solicitud de devolución por vencimiento de presupuestos formales:</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ind w:left="284"/>
        <w:jc w:val="both"/>
        <w:rPr>
          <w:rFonts w:ascii="Times New Roman" w:eastAsia="Times New Roman" w:hAnsi="Times New Roman" w:cs="Times New Roman"/>
          <w:b/>
          <w:bCs/>
          <w:sz w:val="24"/>
          <w:szCs w:val="24"/>
          <w:u w:val="single"/>
          <w:lang w:eastAsia="es-CO"/>
        </w:rPr>
      </w:pPr>
      <w:r w:rsidRPr="004A3665">
        <w:rPr>
          <w:rFonts w:ascii="Times New Roman" w:eastAsia="Times New Roman" w:hAnsi="Times New Roman" w:cs="Times New Roman"/>
          <w:sz w:val="24"/>
          <w:szCs w:val="24"/>
          <w:lang w:eastAsia="es-CO"/>
        </w:rPr>
        <w:lastRenderedPageBreak/>
        <w:t>"</w:t>
      </w:r>
      <w:r w:rsidRPr="004A3665">
        <w:rPr>
          <w:rFonts w:ascii="Times New Roman" w:eastAsia="Times New Roman" w:hAnsi="Times New Roman" w:cs="Times New Roman"/>
          <w:b/>
          <w:bCs/>
          <w:sz w:val="24"/>
          <w:szCs w:val="24"/>
          <w:lang w:eastAsia="es-CO"/>
        </w:rPr>
        <w:t>1. ¿Para efectos fiscales cuándo se entiende que se realizó el cambio de titular de la inversión extranjera en la venta de bienes inmuebles? ¿</w:t>
      </w:r>
      <w:r w:rsidRPr="004A3665">
        <w:rPr>
          <w:rFonts w:ascii="Times New Roman" w:eastAsia="Times New Roman" w:hAnsi="Times New Roman" w:cs="Times New Roman"/>
          <w:b/>
          <w:bCs/>
          <w:sz w:val="24"/>
          <w:szCs w:val="24"/>
          <w:u w:val="single"/>
          <w:lang w:eastAsia="es-CO"/>
        </w:rPr>
        <w:t>En la fecha de la escritura pública o en la fecha de registro de la escritura pública ante la Oficina de Registro de Instrumentos Públicos?</w:t>
      </w:r>
    </w:p>
    <w:p w:rsidR="004A3665" w:rsidRPr="004A3665" w:rsidRDefault="004A3665" w:rsidP="004A3665">
      <w:pPr>
        <w:spacing w:after="0" w:line="240" w:lineRule="auto"/>
        <w:ind w:left="284"/>
        <w:jc w:val="both"/>
        <w:rPr>
          <w:rFonts w:ascii="Times New Roman" w:eastAsia="Times New Roman" w:hAnsi="Times New Roman" w:cs="Times New Roman"/>
          <w:sz w:val="24"/>
          <w:szCs w:val="24"/>
          <w:u w:val="single"/>
          <w:lang w:eastAsia="es-CO"/>
        </w:rPr>
      </w:pPr>
    </w:p>
    <w:p w:rsidR="004A3665" w:rsidRPr="004A3665" w:rsidRDefault="004A3665" w:rsidP="004A3665">
      <w:pPr>
        <w:spacing w:after="0" w:line="240" w:lineRule="auto"/>
        <w:ind w:left="284"/>
        <w:jc w:val="both"/>
        <w:rPr>
          <w:rFonts w:ascii="Times New Roman" w:eastAsia="Times New Roman" w:hAnsi="Times New Roman" w:cs="Times New Roman"/>
          <w:b/>
          <w:bCs/>
          <w:sz w:val="24"/>
          <w:szCs w:val="24"/>
          <w:u w:val="single"/>
          <w:lang w:eastAsia="es-CO"/>
        </w:rPr>
      </w:pPr>
      <w:r w:rsidRPr="004A3665">
        <w:rPr>
          <w:rFonts w:ascii="Times New Roman" w:eastAsia="Times New Roman" w:hAnsi="Times New Roman" w:cs="Times New Roman"/>
          <w:b/>
          <w:bCs/>
          <w:sz w:val="24"/>
          <w:szCs w:val="24"/>
          <w:lang w:eastAsia="es-CO"/>
        </w:rPr>
        <w:t xml:space="preserve">2. Con base en la respuesta a la pregunta anterior, ¿desde cuándo empieza a contar el plazo de un mes del que habla el artículo 1.6.1.13.2.19. del Decreto 1625 de 2016 con el que cuenta el contribuyente para presentar la declaración de renta por el cambio de la titularidad de la inversión extranjera? </w:t>
      </w:r>
      <w:r w:rsidRPr="004A3665">
        <w:rPr>
          <w:rFonts w:ascii="Times New Roman" w:eastAsia="Times New Roman" w:hAnsi="Times New Roman" w:cs="Times New Roman"/>
          <w:b/>
          <w:bCs/>
          <w:sz w:val="24"/>
          <w:szCs w:val="24"/>
          <w:u w:val="single"/>
          <w:lang w:eastAsia="es-CO"/>
        </w:rPr>
        <w:t>¿Se cuenta desde que el notario otorga la escritura pública o desde que se inscribe el respectivo título en la Oficina de Registro de Instrumentos Públicos?</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3. ¿Se encuentra vigente la interpretación expuesta en el Concepto 190 de 2015, según la cual</w:t>
      </w:r>
      <w:r w:rsidRPr="004A3665">
        <w:rPr>
          <w:rFonts w:ascii="Times New Roman" w:eastAsia="Times New Roman" w:hAnsi="Times New Roman" w:cs="Times New Roman"/>
          <w:i/>
          <w:iCs/>
          <w:sz w:val="24"/>
          <w:szCs w:val="24"/>
          <w:lang w:eastAsia="es-CO"/>
        </w:rPr>
        <w:t>, "no procederá una nueva inadmisión si se incumplió con uno de los presupuestos formales que inicialmente se encontraba cumplido, como en el caso de las certificaciones (por ejemplo: la certificación b</w:t>
      </w:r>
      <w:bookmarkStart w:id="0" w:name="_GoBack"/>
      <w:bookmarkEnd w:id="0"/>
      <w:r w:rsidRPr="004A3665">
        <w:rPr>
          <w:rFonts w:ascii="Times New Roman" w:eastAsia="Times New Roman" w:hAnsi="Times New Roman" w:cs="Times New Roman"/>
          <w:i/>
          <w:iCs/>
          <w:sz w:val="24"/>
          <w:szCs w:val="24"/>
          <w:lang w:eastAsia="es-CO"/>
        </w:rPr>
        <w:t>ancaria, certificado de Cámara de Comercio)”?</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En atención a las consultas, se procede a analizar las siguientes consideraciones tributarias:</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b/>
          <w:bCs/>
          <w:sz w:val="24"/>
          <w:szCs w:val="24"/>
          <w:lang w:eastAsia="es-CO"/>
        </w:rPr>
        <w:t>1. Cuándo empieza a contar el plazo de un mes para presentar la declaración por sustitución o cancelación de la inversión extranjera directa en el caso de bienes inmuebles:</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1.1. El artículo 1.6.1.13.2.19. del Decreto 1625 de 2016 establece que:</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i/>
          <w:iCs/>
          <w:sz w:val="24"/>
          <w:szCs w:val="24"/>
          <w:lang w:eastAsia="es-CO"/>
        </w:rPr>
        <w:t>"</w:t>
      </w:r>
      <w:r w:rsidRPr="004A3665">
        <w:rPr>
          <w:rFonts w:ascii="Times New Roman" w:eastAsia="Times New Roman" w:hAnsi="Times New Roman" w:cs="Times New Roman"/>
          <w:b/>
          <w:bCs/>
          <w:i/>
          <w:iCs/>
          <w:sz w:val="24"/>
          <w:szCs w:val="24"/>
          <w:lang w:eastAsia="es-CO"/>
        </w:rPr>
        <w:t>Artículo 1.6.1.13.2.19. Declaración por cambio de titular la inversión extranjera. </w:t>
      </w:r>
      <w:r w:rsidRPr="004A3665">
        <w:rPr>
          <w:rFonts w:ascii="Times New Roman" w:eastAsia="Times New Roman" w:hAnsi="Times New Roman" w:cs="Times New Roman"/>
          <w:i/>
          <w:iCs/>
          <w:sz w:val="24"/>
          <w:szCs w:val="24"/>
          <w:lang w:eastAsia="es-CO"/>
        </w:rPr>
        <w:t>El titular de la inversión extranjera</w:t>
      </w:r>
      <w:r w:rsidRPr="004A3665">
        <w:rPr>
          <w:rFonts w:ascii="Times New Roman" w:eastAsia="Times New Roman" w:hAnsi="Times New Roman" w:cs="Times New Roman"/>
          <w:b/>
          <w:bCs/>
          <w:i/>
          <w:iCs/>
          <w:sz w:val="24"/>
          <w:szCs w:val="24"/>
          <w:lang w:eastAsia="es-CO"/>
        </w:rPr>
        <w:t> </w:t>
      </w:r>
      <w:r w:rsidRPr="004A3665">
        <w:rPr>
          <w:rFonts w:ascii="Times New Roman" w:eastAsia="Times New Roman" w:hAnsi="Times New Roman" w:cs="Times New Roman"/>
          <w:i/>
          <w:iCs/>
          <w:sz w:val="24"/>
          <w:szCs w:val="24"/>
          <w:lang w:eastAsia="es-CO"/>
        </w:rPr>
        <w:t>que realice la transacción o venta de su inversión, deberá presentar, </w:t>
      </w:r>
      <w:r w:rsidRPr="004A3665">
        <w:rPr>
          <w:rFonts w:ascii="Times New Roman" w:eastAsia="Times New Roman" w:hAnsi="Times New Roman" w:cs="Times New Roman"/>
          <w:i/>
          <w:iCs/>
          <w:sz w:val="24"/>
          <w:szCs w:val="24"/>
          <w:u w:val="single"/>
          <w:lang w:eastAsia="es-CO"/>
        </w:rPr>
        <w:t>dentro del mes siguiente a la fecha de  la transacción o venta</w:t>
      </w:r>
      <w:r w:rsidRPr="004A3665">
        <w:rPr>
          <w:rFonts w:ascii="Times New Roman" w:eastAsia="Times New Roman" w:hAnsi="Times New Roman" w:cs="Times New Roman"/>
          <w:i/>
          <w:iCs/>
          <w:sz w:val="24"/>
          <w:szCs w:val="24"/>
          <w:lang w:eastAsia="es-CO"/>
        </w:rPr>
        <w:t>, “Declaración de renta por cambio de titularidad de la inversión extranjera", con la liquidación y pago del impuesto que se genere por la respectiva operación, utilizando el Formulario que para el efecto prescriba la Unidad Administrativa Especial Dirección de Impuestos y Aduanas Nacionales -DIAN y podrá realizarlo a través de su apoderado, agente o representante en Colombia del inversionista, según el caso.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1.2. De la norma anterior, es posible señalar que los inversionistas extranjeros directos en Colombia que realicen la transacción o venta de su inversión se encuentran obligados a presentar la </w:t>
      </w:r>
      <w:r w:rsidRPr="004A3665">
        <w:rPr>
          <w:rFonts w:ascii="Times New Roman" w:eastAsia="Times New Roman" w:hAnsi="Times New Roman" w:cs="Times New Roman"/>
          <w:i/>
          <w:iCs/>
          <w:sz w:val="24"/>
          <w:szCs w:val="24"/>
          <w:lang w:eastAsia="es-CO"/>
        </w:rPr>
        <w:t>"Declaración de renta por cambio de titularidad de la inversión extranjera"</w:t>
      </w:r>
      <w:r w:rsidRPr="004A3665">
        <w:rPr>
          <w:rFonts w:ascii="Times New Roman" w:eastAsia="Times New Roman" w:hAnsi="Times New Roman" w:cs="Times New Roman"/>
          <w:sz w:val="24"/>
          <w:szCs w:val="24"/>
          <w:lang w:eastAsia="es-CO"/>
        </w:rPr>
        <w:t> dentro del mes siguiente a la fecha de transacción o venta.</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1.3. Para efectos del caso concreto, es necesario pasar a revisar cuando se entiende la fecha de transacción o venta de bienes inmuebles para efectos jurídicos.</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1.4. Según lo establecido por este despacho en el Concepto No. 019871 de 2002, se</w:t>
      </w:r>
      <w:r w:rsidRPr="004A3665">
        <w:rPr>
          <w:rFonts w:ascii="Times New Roman" w:eastAsia="Times New Roman" w:hAnsi="Times New Roman" w:cs="Times New Roman"/>
          <w:sz w:val="24"/>
          <w:szCs w:val="24"/>
          <w:lang w:eastAsia="es-CO"/>
        </w:rPr>
        <w:t xml:space="preserve"> </w:t>
      </w:r>
      <w:r w:rsidRPr="004A3665">
        <w:rPr>
          <w:rFonts w:ascii="Times New Roman" w:eastAsia="Times New Roman" w:hAnsi="Times New Roman" w:cs="Times New Roman"/>
          <w:sz w:val="24"/>
          <w:szCs w:val="24"/>
          <w:lang w:eastAsia="es-CO"/>
        </w:rPr>
        <w:t>establece que:</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i/>
          <w:iCs/>
          <w:sz w:val="24"/>
          <w:szCs w:val="24"/>
          <w:lang w:eastAsia="es-CO"/>
        </w:rPr>
        <w:t xml:space="preserve">"La enajenación de bienes raíces es un contrato solemne, es decir que no se perfecciona con el solo acuerdo de las partes; la solemnidad para estos eventos consiste en el registro </w:t>
      </w:r>
      <w:r w:rsidRPr="004A3665">
        <w:rPr>
          <w:rFonts w:ascii="Times New Roman" w:eastAsia="Times New Roman" w:hAnsi="Times New Roman" w:cs="Times New Roman"/>
          <w:i/>
          <w:iCs/>
          <w:sz w:val="24"/>
          <w:szCs w:val="24"/>
          <w:lang w:eastAsia="es-CO"/>
        </w:rPr>
        <w:lastRenderedPageBreak/>
        <w:t xml:space="preserve">de la escritura pública de compraventa en la Oficina de Registro de Instrumentos Públicos, y constituye un requisito ad </w:t>
      </w:r>
      <w:proofErr w:type="spellStart"/>
      <w:r w:rsidRPr="004A3665">
        <w:rPr>
          <w:rFonts w:ascii="Times New Roman" w:eastAsia="Times New Roman" w:hAnsi="Times New Roman" w:cs="Times New Roman"/>
          <w:i/>
          <w:iCs/>
          <w:sz w:val="24"/>
          <w:szCs w:val="24"/>
          <w:lang w:eastAsia="es-CO"/>
        </w:rPr>
        <w:t>substantiam</w:t>
      </w:r>
      <w:proofErr w:type="spellEnd"/>
      <w:r w:rsidRPr="004A3665">
        <w:rPr>
          <w:rFonts w:ascii="Times New Roman" w:eastAsia="Times New Roman" w:hAnsi="Times New Roman" w:cs="Times New Roman"/>
          <w:i/>
          <w:iCs/>
          <w:sz w:val="24"/>
          <w:szCs w:val="24"/>
          <w:lang w:eastAsia="es-CO"/>
        </w:rPr>
        <w:t xml:space="preserve"> </w:t>
      </w:r>
      <w:proofErr w:type="spellStart"/>
      <w:r w:rsidRPr="004A3665">
        <w:rPr>
          <w:rFonts w:ascii="Times New Roman" w:eastAsia="Times New Roman" w:hAnsi="Times New Roman" w:cs="Times New Roman"/>
          <w:i/>
          <w:iCs/>
          <w:sz w:val="24"/>
          <w:szCs w:val="24"/>
          <w:lang w:eastAsia="es-CO"/>
        </w:rPr>
        <w:t>actus</w:t>
      </w:r>
      <w:proofErr w:type="spellEnd"/>
      <w:r w:rsidRPr="004A3665">
        <w:rPr>
          <w:rFonts w:ascii="Times New Roman" w:eastAsia="Times New Roman" w:hAnsi="Times New Roman" w:cs="Times New Roman"/>
          <w:i/>
          <w:iCs/>
          <w:sz w:val="24"/>
          <w:szCs w:val="24"/>
          <w:lang w:eastAsia="es-CO"/>
        </w:rPr>
        <w:t xml:space="preserve"> y ad </w:t>
      </w:r>
      <w:proofErr w:type="spellStart"/>
      <w:r w:rsidRPr="004A3665">
        <w:rPr>
          <w:rFonts w:ascii="Times New Roman" w:eastAsia="Times New Roman" w:hAnsi="Times New Roman" w:cs="Times New Roman"/>
          <w:i/>
          <w:iCs/>
          <w:sz w:val="24"/>
          <w:szCs w:val="24"/>
          <w:lang w:eastAsia="es-CO"/>
        </w:rPr>
        <w:t>probationem</w:t>
      </w:r>
      <w:proofErr w:type="spellEnd"/>
      <w:r w:rsidRPr="004A3665">
        <w:rPr>
          <w:rFonts w:ascii="Times New Roman" w:eastAsia="Times New Roman" w:hAnsi="Times New Roman" w:cs="Times New Roman"/>
          <w:i/>
          <w:iCs/>
          <w:sz w:val="24"/>
          <w:szCs w:val="24"/>
          <w:lang w:eastAsia="es-CO"/>
        </w:rPr>
        <w:t>. </w:t>
      </w:r>
      <w:r w:rsidRPr="004A3665">
        <w:rPr>
          <w:rFonts w:ascii="Times New Roman" w:eastAsia="Times New Roman" w:hAnsi="Times New Roman" w:cs="Times New Roman"/>
          <w:i/>
          <w:iCs/>
          <w:sz w:val="24"/>
          <w:szCs w:val="24"/>
          <w:u w:val="single"/>
          <w:lang w:eastAsia="es-CO"/>
        </w:rPr>
        <w:t>Por tanto, la venta de esta clase de bienes, no se considera perfeccionada ante la ley mientras no se haya otorgado la escritura pública correspondiente, en los términos del artículo 1857 del Código Civil y se haya realizado la formalidad de su registro</w:t>
      </w:r>
      <w:r w:rsidRPr="004A3665">
        <w:rPr>
          <w:rFonts w:ascii="Times New Roman" w:eastAsia="Times New Roman" w:hAnsi="Times New Roman" w:cs="Times New Roman"/>
          <w:i/>
          <w:iCs/>
          <w:sz w:val="24"/>
          <w:szCs w:val="24"/>
          <w:lang w:eastAsia="es-CO"/>
        </w:rPr>
        <w:t>.</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i/>
          <w:iCs/>
          <w:sz w:val="24"/>
          <w:szCs w:val="24"/>
          <w:lang w:eastAsia="es-CO"/>
        </w:rPr>
        <w:t>No basta, pues, el otorgamiento de la escritura pública, para que se produzca la enajenación del bien inmueble, sino que, se reitera, el ordenamiento civil establece que para que esta se produzca se requiere la tradición del inmueble que en el caso de los bienes raíces se efectúa en los términos del artículo 756 del Código Civil: "Se efectuará la tradición del dominio de los bienes raíces por la inscripción del título en la oficina de registro de instrumentos públicos..."</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1.5. Sin perjuicio a lo anterior, es necesario señalar que el </w:t>
      </w:r>
      <w:hyperlink r:id="rId5" w:tooltip="Estatuto Tributario CETA" w:history="1">
        <w:r w:rsidRPr="004A3665">
          <w:rPr>
            <w:rFonts w:ascii="Times New Roman" w:eastAsia="Times New Roman" w:hAnsi="Times New Roman" w:cs="Times New Roman"/>
            <w:sz w:val="24"/>
            <w:szCs w:val="24"/>
            <w:u w:val="single"/>
            <w:lang w:eastAsia="es-CO"/>
          </w:rPr>
          <w:t>artículo 27</w:t>
        </w:r>
      </w:hyperlink>
      <w:r w:rsidRPr="004A3665">
        <w:rPr>
          <w:rFonts w:ascii="Times New Roman" w:eastAsia="Times New Roman" w:hAnsi="Times New Roman" w:cs="Times New Roman"/>
          <w:sz w:val="24"/>
          <w:szCs w:val="24"/>
          <w:lang w:eastAsia="es-CO"/>
        </w:rPr>
        <w:t> del Estatuto Tributario establece que:</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i/>
          <w:iCs/>
          <w:sz w:val="24"/>
          <w:szCs w:val="24"/>
          <w:lang w:eastAsia="es-CO"/>
        </w:rPr>
        <w:t>"Para los contribuyentes no obligados a llevar contabilidad se entienden realizados los ingresos cuando se reciben efectivamente en dinero o en especie, en forma que equivalga legalmente a un pago, o cuando el derecho a exigirlos se extingue por cualquier otro modo legal distinto al pago, como en el caso de las compensaciones o confusiones. Por consiguiente, los ingresos recibidos por anticipado, que correspondan a rentas no realizadas, solo se gravan en el año período gravable en que se realicen.</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i/>
          <w:iCs/>
          <w:sz w:val="24"/>
          <w:szCs w:val="24"/>
          <w:lang w:eastAsia="es-CO"/>
        </w:rPr>
        <w:t>Se exceptúan de la norma anterior: (...)</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i/>
          <w:iCs/>
          <w:sz w:val="24"/>
          <w:szCs w:val="24"/>
          <w:lang w:eastAsia="es-CO"/>
        </w:rPr>
        <w:t>2. </w:t>
      </w:r>
      <w:r w:rsidRPr="004A3665">
        <w:rPr>
          <w:rFonts w:ascii="Times New Roman" w:eastAsia="Times New Roman" w:hAnsi="Times New Roman" w:cs="Times New Roman"/>
          <w:i/>
          <w:iCs/>
          <w:sz w:val="24"/>
          <w:szCs w:val="24"/>
          <w:u w:val="single"/>
          <w:lang w:eastAsia="es-CO"/>
        </w:rPr>
        <w:t>Los ingresos provenientes de la enajenación de bienes inmuebles, se entienden realizados en la fecha de la escritura pública correspondiente.</w:t>
      </w:r>
      <w:r w:rsidRPr="004A3665">
        <w:rPr>
          <w:rFonts w:ascii="Times New Roman" w:eastAsia="Times New Roman" w:hAnsi="Times New Roman" w:cs="Times New Roman"/>
          <w:i/>
          <w:iCs/>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1.6. El numeral 2 del </w:t>
      </w:r>
      <w:hyperlink r:id="rId6" w:tooltip="Estatuto Tributario CETA" w:history="1">
        <w:r w:rsidRPr="004A3665">
          <w:rPr>
            <w:rFonts w:ascii="Times New Roman" w:eastAsia="Times New Roman" w:hAnsi="Times New Roman" w:cs="Times New Roman"/>
            <w:sz w:val="24"/>
            <w:szCs w:val="24"/>
            <w:u w:val="single"/>
            <w:lang w:eastAsia="es-CO"/>
          </w:rPr>
          <w:t>artículo 28</w:t>
        </w:r>
      </w:hyperlink>
      <w:r w:rsidRPr="004A3665">
        <w:rPr>
          <w:rFonts w:ascii="Times New Roman" w:eastAsia="Times New Roman" w:hAnsi="Times New Roman" w:cs="Times New Roman"/>
          <w:sz w:val="24"/>
          <w:szCs w:val="24"/>
          <w:lang w:eastAsia="es-CO"/>
        </w:rPr>
        <w:t> del Estatuto Tributario, el cual establece el tratamiento tributario en la realización del ingreso para los obligados a llevar contabilidad, establece que:</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ind w:left="284"/>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i/>
          <w:iCs/>
          <w:sz w:val="24"/>
          <w:szCs w:val="24"/>
          <w:lang w:eastAsia="es-CO"/>
        </w:rPr>
        <w:t>"2. En el caso de la venta de bienes inmuebles el ingreso se realizará en los términos del numeral 2 del </w:t>
      </w:r>
      <w:hyperlink r:id="rId7" w:tooltip="Estatuto Tributario CETA" w:history="1">
        <w:r w:rsidRPr="004A3665">
          <w:rPr>
            <w:rFonts w:ascii="Times New Roman" w:eastAsia="Times New Roman" w:hAnsi="Times New Roman" w:cs="Times New Roman"/>
            <w:i/>
            <w:iCs/>
            <w:sz w:val="24"/>
            <w:szCs w:val="24"/>
            <w:u w:val="single"/>
            <w:lang w:eastAsia="es-CO"/>
          </w:rPr>
          <w:t>artículo 27</w:t>
        </w:r>
      </w:hyperlink>
      <w:r w:rsidRPr="004A3665">
        <w:rPr>
          <w:rFonts w:ascii="Times New Roman" w:eastAsia="Times New Roman" w:hAnsi="Times New Roman" w:cs="Times New Roman"/>
          <w:i/>
          <w:iCs/>
          <w:sz w:val="24"/>
          <w:szCs w:val="24"/>
          <w:lang w:eastAsia="es-CO"/>
        </w:rPr>
        <w:t> del Estatuto Tributario".</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b/>
          <w:bCs/>
          <w:sz w:val="24"/>
          <w:szCs w:val="24"/>
          <w:lang w:eastAsia="es-CO"/>
        </w:rPr>
        <w:t>1.7. Por lo anterior, es preciso señalar que en el caso de la enajenación de bienes inmuebles la realización del ingreso puede tener lugar en un momento temporal diferente a la venta o transacción del bien inmueble. Lo anterior, reconociendo que el ingreso por la enajenación de inmuebles se realiza, tanto para los obligados a llevar contabilidad como los no obligados, en la fecha de la escritura pública correspondiente,</w:t>
      </w:r>
      <w:r w:rsidRPr="004A3665">
        <w:rPr>
          <w:rFonts w:ascii="Times New Roman" w:eastAsia="Times New Roman" w:hAnsi="Times New Roman" w:cs="Times New Roman"/>
          <w:sz w:val="24"/>
          <w:szCs w:val="24"/>
          <w:lang w:eastAsia="es-CO"/>
        </w:rPr>
        <w:t xml:space="preserve"> mientras que la venta o transacción del inmueble tiene lugar en el momento en que tenga lugar la inscripción del título o escritura pública en la oficina de registro de instrumentos públicos.</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b/>
          <w:bCs/>
          <w:sz w:val="24"/>
          <w:szCs w:val="24"/>
          <w:lang w:eastAsia="es-CO"/>
        </w:rPr>
        <w:t>1.8. En esta medida, consideramos que el artículo 1.6.1.13.2.19. del Decreto 1625 de 2016 establece la obligación de presentar la </w:t>
      </w:r>
      <w:r w:rsidRPr="004A3665">
        <w:rPr>
          <w:rFonts w:ascii="Times New Roman" w:eastAsia="Times New Roman" w:hAnsi="Times New Roman" w:cs="Times New Roman"/>
          <w:b/>
          <w:bCs/>
          <w:i/>
          <w:iCs/>
          <w:sz w:val="24"/>
          <w:szCs w:val="24"/>
          <w:lang w:eastAsia="es-CO"/>
        </w:rPr>
        <w:t>"Declaración de renta por cambio de titularidad de la inversión extranjera"</w:t>
      </w:r>
      <w:r w:rsidRPr="004A3665">
        <w:rPr>
          <w:rFonts w:ascii="Times New Roman" w:eastAsia="Times New Roman" w:hAnsi="Times New Roman" w:cs="Times New Roman"/>
          <w:b/>
          <w:bCs/>
          <w:sz w:val="24"/>
          <w:szCs w:val="24"/>
          <w:lang w:eastAsia="es-CO"/>
        </w:rPr>
        <w:t> </w:t>
      </w:r>
      <w:r w:rsidRPr="004A3665">
        <w:rPr>
          <w:rFonts w:ascii="Times New Roman" w:eastAsia="Times New Roman" w:hAnsi="Times New Roman" w:cs="Times New Roman"/>
          <w:b/>
          <w:bCs/>
          <w:sz w:val="24"/>
          <w:szCs w:val="24"/>
          <w:u w:val="single"/>
          <w:lang w:eastAsia="es-CO"/>
        </w:rPr>
        <w:t>dentro del mes siguiente a la fecha de la transacción o venta</w:t>
      </w:r>
      <w:r w:rsidRPr="004A3665">
        <w:rPr>
          <w:rFonts w:ascii="Times New Roman" w:eastAsia="Times New Roman" w:hAnsi="Times New Roman" w:cs="Times New Roman"/>
          <w:sz w:val="24"/>
          <w:szCs w:val="24"/>
          <w:lang w:eastAsia="es-CO"/>
        </w:rPr>
        <w:t xml:space="preserve">. Esto quiere decir que la obligación de presentar la declaración no depende del momento de </w:t>
      </w:r>
      <w:r w:rsidRPr="004A3665">
        <w:rPr>
          <w:rFonts w:ascii="Times New Roman" w:eastAsia="Times New Roman" w:hAnsi="Times New Roman" w:cs="Times New Roman"/>
          <w:sz w:val="24"/>
          <w:szCs w:val="24"/>
          <w:lang w:eastAsia="es-CO"/>
        </w:rPr>
        <w:lastRenderedPageBreak/>
        <w:t>la realización del ingreso por la enajenación del bien inmueble sino efectivamente de la venta o transacción.</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1.9. Ahora bien, es preciso aclarar que lo señalado en el párrafo anterior, no es óbice para que los obligados a presentar la declaración no reconozcan el ingreso por la enajenación del bien inmueble en los términos del </w:t>
      </w:r>
      <w:hyperlink r:id="rId8" w:tooltip="Estatuto Tributario CETA" w:history="1">
        <w:r w:rsidRPr="004A3665">
          <w:rPr>
            <w:rFonts w:ascii="Times New Roman" w:eastAsia="Times New Roman" w:hAnsi="Times New Roman" w:cs="Times New Roman"/>
            <w:sz w:val="24"/>
            <w:szCs w:val="24"/>
            <w:u w:val="single"/>
            <w:lang w:eastAsia="es-CO"/>
          </w:rPr>
          <w:t>artículo 27</w:t>
        </w:r>
      </w:hyperlink>
      <w:r w:rsidRPr="004A3665">
        <w:rPr>
          <w:rFonts w:ascii="Times New Roman" w:eastAsia="Times New Roman" w:hAnsi="Times New Roman" w:cs="Times New Roman"/>
          <w:sz w:val="24"/>
          <w:szCs w:val="24"/>
          <w:lang w:eastAsia="es-CO"/>
        </w:rPr>
        <w:t> del Estatuto Tributario.</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1.10. Así pues, en el caso de la venta o transacción de bienes inmuebles por parte de un inversionista extranjero directo. la</w:t>
      </w:r>
      <w:r w:rsidRPr="004A3665">
        <w:rPr>
          <w:rFonts w:ascii="Times New Roman" w:eastAsia="Times New Roman" w:hAnsi="Times New Roman" w:cs="Times New Roman"/>
          <w:i/>
          <w:iCs/>
          <w:sz w:val="24"/>
          <w:szCs w:val="24"/>
          <w:lang w:eastAsia="es-CO"/>
        </w:rPr>
        <w:t> "Declaración de renta por cambio de titularidad de la inversión extranjera"</w:t>
      </w:r>
      <w:r w:rsidRPr="004A3665">
        <w:rPr>
          <w:rFonts w:ascii="Times New Roman" w:eastAsia="Times New Roman" w:hAnsi="Times New Roman" w:cs="Times New Roman"/>
          <w:sz w:val="24"/>
          <w:szCs w:val="24"/>
          <w:lang w:eastAsia="es-CO"/>
        </w:rPr>
        <w:t> deberá presentarse dentro del mes siguiente a la fecha de inscripción de la escritura pública o título en la Oficina de registro de instrumentos públicos, momento en el cual se entiende la fecha de venta o transacción para el caso de bienes inmuebles.</w:t>
      </w:r>
    </w:p>
    <w:p w:rsidR="004A3665" w:rsidRPr="004A3665" w:rsidRDefault="004A3665" w:rsidP="004A3665">
      <w:pPr>
        <w:spacing w:after="0" w:line="240" w:lineRule="auto"/>
        <w:jc w:val="both"/>
        <w:rPr>
          <w:rFonts w:ascii="Times New Roman" w:eastAsia="Times New Roman" w:hAnsi="Times New Roman" w:cs="Times New Roman"/>
          <w:b/>
          <w:bCs/>
          <w:sz w:val="24"/>
          <w:szCs w:val="24"/>
          <w:lang w:eastAsia="es-CO"/>
        </w:rPr>
      </w:pPr>
    </w:p>
    <w:p w:rsidR="004A3665" w:rsidRPr="004A3665" w:rsidRDefault="004A3665" w:rsidP="004A3665">
      <w:pPr>
        <w:spacing w:after="0" w:line="240" w:lineRule="auto"/>
        <w:jc w:val="both"/>
        <w:rPr>
          <w:rFonts w:ascii="Times New Roman" w:eastAsia="Times New Roman" w:hAnsi="Times New Roman" w:cs="Times New Roman"/>
          <w:b/>
          <w:bCs/>
          <w:sz w:val="24"/>
          <w:szCs w:val="24"/>
          <w:u w:val="single"/>
          <w:lang w:eastAsia="es-CO"/>
        </w:rPr>
      </w:pPr>
      <w:r w:rsidRPr="004A3665">
        <w:rPr>
          <w:rFonts w:ascii="Times New Roman" w:eastAsia="Times New Roman" w:hAnsi="Times New Roman" w:cs="Times New Roman"/>
          <w:b/>
          <w:bCs/>
          <w:sz w:val="24"/>
          <w:szCs w:val="24"/>
          <w:lang w:eastAsia="es-CO"/>
        </w:rPr>
        <w:t>1.11. Por lo anterior, la fecha desde cuándo empieza a correr el término para la presentación de la </w:t>
      </w:r>
      <w:r w:rsidRPr="004A3665">
        <w:rPr>
          <w:rFonts w:ascii="Times New Roman" w:eastAsia="Times New Roman" w:hAnsi="Times New Roman" w:cs="Times New Roman"/>
          <w:b/>
          <w:bCs/>
          <w:i/>
          <w:iCs/>
          <w:sz w:val="24"/>
          <w:szCs w:val="24"/>
          <w:lang w:eastAsia="es-CO"/>
        </w:rPr>
        <w:t>"Declaración de renta por cambio de titularidad de la inversión extranjera”,</w:t>
      </w:r>
      <w:r w:rsidRPr="004A3665">
        <w:rPr>
          <w:rFonts w:ascii="Times New Roman" w:eastAsia="Times New Roman" w:hAnsi="Times New Roman" w:cs="Times New Roman"/>
          <w:b/>
          <w:bCs/>
          <w:sz w:val="24"/>
          <w:szCs w:val="24"/>
          <w:lang w:eastAsia="es-CO"/>
        </w:rPr>
        <w:t xml:space="preserve"> por la transacción o venta de bienes inmuebles, </w:t>
      </w:r>
      <w:r w:rsidRPr="004A3665">
        <w:rPr>
          <w:rFonts w:ascii="Times New Roman" w:eastAsia="Times New Roman" w:hAnsi="Times New Roman" w:cs="Times New Roman"/>
          <w:b/>
          <w:bCs/>
          <w:sz w:val="24"/>
          <w:szCs w:val="24"/>
          <w:u w:val="single"/>
          <w:lang w:eastAsia="es-CO"/>
        </w:rPr>
        <w:t>corresponde al momento en el cual se inscribe el respectivo título en la Oficina de Registro de Instrumentos Públicos.</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b/>
          <w:bCs/>
          <w:sz w:val="24"/>
          <w:szCs w:val="24"/>
          <w:lang w:eastAsia="es-CO"/>
        </w:rPr>
        <w:t>2. Vigencia de la interpretación expuesta en el Concepto No. 190 de 2015 respecto a la inadmisión de la solicitud de devolución por vencimiento de presupuestos formales que se encontraban cumplidos en la solicitud inicial:</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2.1. El Concepto No. 190 de 2015 se encuentra vigente a la fecha de emisión de este documento.</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2.2. Por lo anterior, el aparte del Concepto No. 190 de 2015 donde se señala que: "</w:t>
      </w:r>
      <w:r w:rsidRPr="004A3665">
        <w:rPr>
          <w:rFonts w:ascii="Times New Roman" w:eastAsia="Times New Roman" w:hAnsi="Times New Roman" w:cs="Times New Roman"/>
          <w:i/>
          <w:iCs/>
          <w:sz w:val="24"/>
          <w:szCs w:val="24"/>
          <w:lang w:eastAsia="es-CO"/>
        </w:rPr>
        <w:t>no procederá una nueva inadmisión sí se incumplió con uno de los presupuestos formales que inicialmente se encontraba cumplido, como en el caso de las certificaciones"</w:t>
      </w:r>
      <w:r w:rsidRPr="004A3665">
        <w:rPr>
          <w:rFonts w:ascii="Times New Roman" w:eastAsia="Times New Roman" w:hAnsi="Times New Roman" w:cs="Times New Roman"/>
          <w:sz w:val="24"/>
          <w:szCs w:val="24"/>
          <w:lang w:eastAsia="es-CO"/>
        </w:rPr>
        <w:t>, se encuentra vigente.</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Atentamente,</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 </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b/>
          <w:bCs/>
          <w:sz w:val="24"/>
          <w:szCs w:val="24"/>
          <w:lang w:eastAsia="es-CO"/>
        </w:rPr>
        <w:t>LORENZO CASTILLO BARVO</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Subdirector de Gestión Normativa y Doctrina (E)</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Dirección de Gestión Jurídica</w:t>
      </w:r>
    </w:p>
    <w:p w:rsidR="004A3665" w:rsidRPr="004A3665" w:rsidRDefault="004A3665" w:rsidP="004A3665">
      <w:pPr>
        <w:spacing w:after="0" w:line="240" w:lineRule="auto"/>
        <w:jc w:val="both"/>
        <w:rPr>
          <w:rFonts w:ascii="Times New Roman" w:eastAsia="Times New Roman" w:hAnsi="Times New Roman" w:cs="Times New Roman"/>
          <w:sz w:val="24"/>
          <w:szCs w:val="24"/>
          <w:lang w:eastAsia="es-CO"/>
        </w:rPr>
      </w:pPr>
      <w:r w:rsidRPr="004A3665">
        <w:rPr>
          <w:rFonts w:ascii="Times New Roman" w:eastAsia="Times New Roman" w:hAnsi="Times New Roman" w:cs="Times New Roman"/>
          <w:sz w:val="24"/>
          <w:szCs w:val="24"/>
          <w:lang w:eastAsia="es-CO"/>
        </w:rPr>
        <w:t>UAE- Dirección de Impuestos y Aduanas Nacionales</w:t>
      </w:r>
    </w:p>
    <w:p w:rsidR="004A3665" w:rsidRPr="004A3665" w:rsidRDefault="004A3665">
      <w:pPr>
        <w:rPr>
          <w:rFonts w:ascii="Times New Roman" w:hAnsi="Times New Roman" w:cs="Times New Roman"/>
          <w:sz w:val="24"/>
          <w:szCs w:val="24"/>
        </w:rPr>
      </w:pPr>
    </w:p>
    <w:sectPr w:rsidR="004A3665" w:rsidRPr="004A36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65"/>
    <w:rsid w:val="004A36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0118"/>
  <w15:chartTrackingRefBased/>
  <w15:docId w15:val="{67BC30A6-89F5-4A4C-B30A-82E0057D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7073">
      <w:bodyDiv w:val="1"/>
      <w:marLeft w:val="0"/>
      <w:marRight w:val="0"/>
      <w:marTop w:val="0"/>
      <w:marBottom w:val="0"/>
      <w:divBdr>
        <w:top w:val="none" w:sz="0" w:space="0" w:color="auto"/>
        <w:left w:val="none" w:sz="0" w:space="0" w:color="auto"/>
        <w:bottom w:val="none" w:sz="0" w:space="0" w:color="auto"/>
        <w:right w:val="none" w:sz="0" w:space="0" w:color="auto"/>
      </w:divBdr>
    </w:div>
    <w:div w:id="469204985">
      <w:bodyDiv w:val="1"/>
      <w:marLeft w:val="0"/>
      <w:marRight w:val="0"/>
      <w:marTop w:val="0"/>
      <w:marBottom w:val="0"/>
      <w:divBdr>
        <w:top w:val="none" w:sz="0" w:space="0" w:color="auto"/>
        <w:left w:val="none" w:sz="0" w:space="0" w:color="auto"/>
        <w:bottom w:val="none" w:sz="0" w:space="0" w:color="auto"/>
        <w:right w:val="none" w:sz="0" w:space="0" w:color="auto"/>
      </w:divBdr>
    </w:div>
    <w:div w:id="1723285561">
      <w:bodyDiv w:val="1"/>
      <w:marLeft w:val="0"/>
      <w:marRight w:val="0"/>
      <w:marTop w:val="0"/>
      <w:marBottom w:val="0"/>
      <w:divBdr>
        <w:top w:val="none" w:sz="0" w:space="0" w:color="auto"/>
        <w:left w:val="none" w:sz="0" w:space="0" w:color="auto"/>
        <w:bottom w:val="none" w:sz="0" w:space="0" w:color="auto"/>
        <w:right w:val="none" w:sz="0" w:space="0" w:color="auto"/>
      </w:divBdr>
    </w:div>
    <w:div w:id="207719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57"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58" TargetMode="External"/><Relationship Id="rId5" Type="http://schemas.openxmlformats.org/officeDocument/2006/relationships/hyperlink" Target="https://www.ceta.org.co/html/vista_de_un_articulo.asp?Norma=57" TargetMode="External"/><Relationship Id="rId10" Type="http://schemas.openxmlformats.org/officeDocument/2006/relationships/theme" Target="theme/theme1.xml"/><Relationship Id="rId4" Type="http://schemas.openxmlformats.org/officeDocument/2006/relationships/hyperlink" Target="https://www.ceta.org.co/html/vista_de_un_articulo.asp?Norma=405"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1580</Words>
  <Characters>8694</Characters>
  <Application>Microsoft Office Word</Application>
  <DocSecurity>0</DocSecurity>
  <Lines>72</Lines>
  <Paragraphs>20</Paragraphs>
  <ScaleCrop>false</ScaleCrop>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2019-11-01T21:42:00Z</dcterms:created>
  <dcterms:modified xsi:type="dcterms:W3CDTF">2019-11-01T21:53:00Z</dcterms:modified>
</cp:coreProperties>
</file>