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926B4" w14:textId="77777777" w:rsidR="00986A76" w:rsidRPr="00986A76" w:rsidRDefault="00986A76" w:rsidP="00986A76">
      <w:pPr>
        <w:spacing w:after="0" w:line="240" w:lineRule="auto"/>
        <w:jc w:val="center"/>
        <w:rPr>
          <w:rFonts w:ascii="Times New Roman" w:eastAsia="Times New Roman" w:hAnsi="Times New Roman" w:cs="Times New Roman"/>
          <w:sz w:val="24"/>
          <w:szCs w:val="24"/>
          <w:lang w:eastAsia="es-CO"/>
        </w:rPr>
      </w:pPr>
      <w:r w:rsidRPr="00986A76">
        <w:rPr>
          <w:rFonts w:ascii="Times New Roman" w:eastAsia="Times New Roman" w:hAnsi="Times New Roman" w:cs="Times New Roman"/>
          <w:b/>
          <w:bCs/>
          <w:sz w:val="24"/>
          <w:szCs w:val="24"/>
          <w:lang w:eastAsia="es-CO"/>
        </w:rPr>
        <w:t xml:space="preserve">OFICIO </w:t>
      </w:r>
      <w:proofErr w:type="spellStart"/>
      <w:r w:rsidRPr="00986A76">
        <w:rPr>
          <w:rFonts w:ascii="Times New Roman" w:eastAsia="Times New Roman" w:hAnsi="Times New Roman" w:cs="Times New Roman"/>
          <w:b/>
          <w:bCs/>
          <w:sz w:val="24"/>
          <w:szCs w:val="24"/>
          <w:lang w:eastAsia="es-CO"/>
        </w:rPr>
        <w:t>Nº</w:t>
      </w:r>
      <w:proofErr w:type="spellEnd"/>
      <w:r w:rsidRPr="00986A76">
        <w:rPr>
          <w:rFonts w:ascii="Times New Roman" w:eastAsia="Times New Roman" w:hAnsi="Times New Roman" w:cs="Times New Roman"/>
          <w:b/>
          <w:bCs/>
          <w:sz w:val="24"/>
          <w:szCs w:val="24"/>
          <w:lang w:eastAsia="es-CO"/>
        </w:rPr>
        <w:t xml:space="preserve"> 1661 [017782]</w:t>
      </w:r>
    </w:p>
    <w:p w14:paraId="0D6E9039" w14:textId="77777777" w:rsidR="00986A76" w:rsidRPr="00986A76" w:rsidRDefault="00986A76" w:rsidP="00986A76">
      <w:pPr>
        <w:spacing w:after="0" w:line="240" w:lineRule="auto"/>
        <w:jc w:val="center"/>
        <w:rPr>
          <w:rFonts w:ascii="Times New Roman" w:eastAsia="Times New Roman" w:hAnsi="Times New Roman" w:cs="Times New Roman"/>
          <w:sz w:val="24"/>
          <w:szCs w:val="24"/>
          <w:lang w:eastAsia="es-CO"/>
        </w:rPr>
      </w:pPr>
      <w:r w:rsidRPr="00986A76">
        <w:rPr>
          <w:rFonts w:ascii="Times New Roman" w:eastAsia="Times New Roman" w:hAnsi="Times New Roman" w:cs="Times New Roman"/>
          <w:b/>
          <w:bCs/>
          <w:sz w:val="24"/>
          <w:szCs w:val="24"/>
          <w:lang w:eastAsia="es-CO"/>
        </w:rPr>
        <w:t>10-07-2019</w:t>
      </w:r>
    </w:p>
    <w:p w14:paraId="659FA376" w14:textId="77777777" w:rsidR="00986A76" w:rsidRPr="00986A76" w:rsidRDefault="00986A76" w:rsidP="00986A76">
      <w:pPr>
        <w:spacing w:after="0" w:line="240" w:lineRule="auto"/>
        <w:jc w:val="center"/>
        <w:rPr>
          <w:rFonts w:ascii="Times New Roman" w:eastAsia="Times New Roman" w:hAnsi="Times New Roman" w:cs="Times New Roman"/>
          <w:sz w:val="24"/>
          <w:szCs w:val="24"/>
          <w:lang w:eastAsia="es-CO"/>
        </w:rPr>
      </w:pPr>
      <w:r w:rsidRPr="00986A76">
        <w:rPr>
          <w:rFonts w:ascii="Times New Roman" w:eastAsia="Times New Roman" w:hAnsi="Times New Roman" w:cs="Times New Roman"/>
          <w:b/>
          <w:bCs/>
          <w:sz w:val="24"/>
          <w:szCs w:val="24"/>
          <w:lang w:eastAsia="es-CO"/>
        </w:rPr>
        <w:t>DIAN</w:t>
      </w:r>
    </w:p>
    <w:p w14:paraId="384ECE05"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b/>
          <w:bCs/>
          <w:sz w:val="24"/>
          <w:szCs w:val="24"/>
          <w:lang w:eastAsia="es-CO"/>
        </w:rPr>
        <w:t> </w:t>
      </w:r>
    </w:p>
    <w:p w14:paraId="42425BBA"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b/>
          <w:bCs/>
          <w:sz w:val="24"/>
          <w:szCs w:val="24"/>
          <w:lang w:eastAsia="es-CO"/>
        </w:rPr>
        <w:t> </w:t>
      </w:r>
    </w:p>
    <w:p w14:paraId="06C5B41C"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Subdirección de Gestión Normativa y Doctrina</w:t>
      </w:r>
    </w:p>
    <w:p w14:paraId="699B38DD"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100208221 – 001661</w:t>
      </w:r>
    </w:p>
    <w:p w14:paraId="02E153F3"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Bogotá, D.C.</w:t>
      </w:r>
    </w:p>
    <w:p w14:paraId="195E46B4"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50CB2E6D"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proofErr w:type="spellStart"/>
      <w:r w:rsidRPr="00986A76">
        <w:rPr>
          <w:rFonts w:ascii="Times New Roman" w:eastAsia="Times New Roman" w:hAnsi="Times New Roman" w:cs="Times New Roman"/>
          <w:b/>
          <w:bCs/>
          <w:sz w:val="24"/>
          <w:szCs w:val="24"/>
          <w:lang w:eastAsia="es-CO"/>
        </w:rPr>
        <w:t>Ref</w:t>
      </w:r>
      <w:proofErr w:type="spellEnd"/>
      <w:r w:rsidRPr="00986A76">
        <w:rPr>
          <w:rFonts w:ascii="Times New Roman" w:eastAsia="Times New Roman" w:hAnsi="Times New Roman" w:cs="Times New Roman"/>
          <w:b/>
          <w:bCs/>
          <w:sz w:val="24"/>
          <w:szCs w:val="24"/>
          <w:lang w:eastAsia="es-CO"/>
        </w:rPr>
        <w:t>: </w:t>
      </w:r>
      <w:r w:rsidRPr="00986A76">
        <w:rPr>
          <w:rFonts w:ascii="Times New Roman" w:eastAsia="Times New Roman" w:hAnsi="Times New Roman" w:cs="Times New Roman"/>
          <w:sz w:val="24"/>
          <w:szCs w:val="24"/>
          <w:lang w:eastAsia="es-CO"/>
        </w:rPr>
        <w:t>Radicado 100031502 del 16/05/2019</w:t>
      </w:r>
    </w:p>
    <w:p w14:paraId="1DC0DD92"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0B00F8F1"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b/>
          <w:bCs/>
          <w:sz w:val="24"/>
          <w:szCs w:val="24"/>
          <w:lang w:eastAsia="es-CO"/>
        </w:rPr>
        <w:t>Tema </w:t>
      </w:r>
      <w:r w:rsidRPr="00986A76">
        <w:rPr>
          <w:rFonts w:ascii="Times New Roman" w:eastAsia="Times New Roman" w:hAnsi="Times New Roman" w:cs="Times New Roman"/>
          <w:sz w:val="24"/>
          <w:szCs w:val="24"/>
          <w:lang w:eastAsia="es-CO"/>
        </w:rPr>
        <w:t>Impuesto sobre la Renta y Complementarios</w:t>
      </w:r>
    </w:p>
    <w:p w14:paraId="3F5AF34B"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b/>
          <w:bCs/>
          <w:sz w:val="24"/>
          <w:szCs w:val="24"/>
          <w:lang w:eastAsia="es-CO"/>
        </w:rPr>
        <w:t>Descriptores </w:t>
      </w:r>
      <w:r w:rsidRPr="00986A76">
        <w:rPr>
          <w:rFonts w:ascii="Times New Roman" w:eastAsia="Times New Roman" w:hAnsi="Times New Roman" w:cs="Times New Roman"/>
          <w:sz w:val="24"/>
          <w:szCs w:val="24"/>
          <w:lang w:eastAsia="es-CO"/>
        </w:rPr>
        <w:t>SISTEMA GENERAL DE SEGURIDAD SOCIAL-VERIFICACIÓN DE AFILIACIÓN Y PAGO DE APORTES</w:t>
      </w:r>
    </w:p>
    <w:p w14:paraId="1F345180"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b/>
          <w:bCs/>
          <w:sz w:val="24"/>
          <w:szCs w:val="24"/>
          <w:lang w:eastAsia="es-CO"/>
        </w:rPr>
        <w:t>Fuentes formales </w:t>
      </w:r>
      <w:r w:rsidRPr="00986A76">
        <w:rPr>
          <w:rFonts w:ascii="Times New Roman" w:eastAsia="Times New Roman" w:hAnsi="Times New Roman" w:cs="Times New Roman"/>
          <w:sz w:val="24"/>
          <w:szCs w:val="24"/>
          <w:lang w:eastAsia="es-CO"/>
        </w:rPr>
        <w:t>Decreto 3032 de 2013 art. 9.</w:t>
      </w:r>
    </w:p>
    <w:p w14:paraId="35275964"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419D2C84"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45C19FF7"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Cordial saludo, Sra. Rosalba:</w:t>
      </w:r>
    </w:p>
    <w:p w14:paraId="3022A2AB"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3BC74F17"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14:paraId="6831FE71"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60FB3421"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14:paraId="200BB23A"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7BC1258C"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En igual sentido, los conceptos que se emiten por este despacho tienen corno fundamento las circunstancias presentadas en las consultas y buscan atender los supuestos de hecho y de derecho expuestos en estas; por ello, se recomienda que la lectura del mismo se haga en forma integral para la comprensión de su alcance, el cual no debe extenderse a situaciones diferentes a las planteadas y estudiadas.</w:t>
      </w:r>
    </w:p>
    <w:p w14:paraId="3BCA5AD4"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5D0B514E"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Pregunta usted por la vigencia del Concepto 048258 de 11 de agosto de 2014, en cuanto no es necesario que el pago del canon de arrendamiento de bien inmueble sea sometido a la verificación del aporte a la Seguridad Social integral por parte del contratante, o si por el contrario existe un cambio de conceptos sobre dicha doctrina.</w:t>
      </w:r>
    </w:p>
    <w:p w14:paraId="163AF275"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6E74332A" w14:textId="77777777" w:rsidR="00986A76" w:rsidRPr="003F77FA" w:rsidRDefault="00986A76" w:rsidP="00986A76">
      <w:pPr>
        <w:spacing w:after="0" w:line="240" w:lineRule="auto"/>
        <w:jc w:val="both"/>
        <w:rPr>
          <w:rFonts w:ascii="Times New Roman" w:eastAsia="Times New Roman" w:hAnsi="Times New Roman" w:cs="Times New Roman"/>
          <w:b/>
          <w:bCs/>
          <w:sz w:val="36"/>
          <w:szCs w:val="36"/>
          <w:u w:val="single"/>
          <w:lang w:eastAsia="es-CO"/>
        </w:rPr>
      </w:pPr>
      <w:r w:rsidRPr="003F77FA">
        <w:rPr>
          <w:rFonts w:ascii="Times New Roman" w:eastAsia="Times New Roman" w:hAnsi="Times New Roman" w:cs="Times New Roman"/>
          <w:sz w:val="36"/>
          <w:szCs w:val="36"/>
          <w:highlight w:val="green"/>
          <w:lang w:eastAsia="es-CO"/>
        </w:rPr>
        <w:t>A este respecto, el Concepto 048258 de 2014 contiene dentro de la tesis jurídica el siguiente tenor: </w:t>
      </w:r>
      <w:r w:rsidRPr="003F77FA">
        <w:rPr>
          <w:rFonts w:ascii="Times New Roman" w:eastAsia="Times New Roman" w:hAnsi="Times New Roman" w:cs="Times New Roman"/>
          <w:i/>
          <w:iCs/>
          <w:sz w:val="36"/>
          <w:szCs w:val="36"/>
          <w:highlight w:val="green"/>
          <w:lang w:eastAsia="es-CO"/>
        </w:rPr>
        <w:t>"</w:t>
      </w:r>
      <w:r w:rsidRPr="003F77FA">
        <w:rPr>
          <w:rFonts w:ascii="Times New Roman" w:eastAsia="Times New Roman" w:hAnsi="Times New Roman" w:cs="Times New Roman"/>
          <w:b/>
          <w:bCs/>
          <w:i/>
          <w:iCs/>
          <w:sz w:val="36"/>
          <w:szCs w:val="36"/>
          <w:highlight w:val="green"/>
          <w:u w:val="single"/>
          <w:lang w:eastAsia="es-CO"/>
        </w:rPr>
        <w:t xml:space="preserve">en los contratos que no impliquen la prestación de un servicio personal, no resulta </w:t>
      </w:r>
      <w:r w:rsidRPr="003F77FA">
        <w:rPr>
          <w:rFonts w:ascii="Times New Roman" w:eastAsia="Times New Roman" w:hAnsi="Times New Roman" w:cs="Times New Roman"/>
          <w:b/>
          <w:bCs/>
          <w:i/>
          <w:iCs/>
          <w:sz w:val="36"/>
          <w:szCs w:val="36"/>
          <w:highlight w:val="green"/>
          <w:u w:val="single"/>
          <w:lang w:eastAsia="es-CO"/>
        </w:rPr>
        <w:lastRenderedPageBreak/>
        <w:t>aplicable la verificación prevista en el artículo 3° del Decreto 1070 de 2013”.</w:t>
      </w:r>
    </w:p>
    <w:p w14:paraId="7ADBC917"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i/>
          <w:iCs/>
          <w:sz w:val="24"/>
          <w:szCs w:val="24"/>
          <w:lang w:eastAsia="es-CO"/>
        </w:rPr>
        <w:t> </w:t>
      </w:r>
    </w:p>
    <w:p w14:paraId="5CBE7ADA"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La verificación consiste en que los pagos realizados a las personas naturales residentes cuyos ingresos no provengan de una relación laboral, o legal o reglamentaria por concepto de contratos de prestación de servicios, el contratante deberá verificar que los aportes al Sistema General de Seguridad Social estén realizados de acuerdo con los ingresos obtenidos en el contrato respectivo.</w:t>
      </w:r>
    </w:p>
    <w:p w14:paraId="127BF502"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38731236" w14:textId="77777777" w:rsidR="00986A76" w:rsidRPr="003F77FA" w:rsidRDefault="00986A76" w:rsidP="00986A76">
      <w:pPr>
        <w:spacing w:after="0" w:line="240" w:lineRule="auto"/>
        <w:jc w:val="both"/>
        <w:rPr>
          <w:rFonts w:ascii="Times New Roman" w:eastAsia="Times New Roman" w:hAnsi="Times New Roman" w:cs="Times New Roman"/>
          <w:b/>
          <w:bCs/>
          <w:sz w:val="32"/>
          <w:szCs w:val="32"/>
          <w:u w:val="single"/>
          <w:lang w:eastAsia="es-CO"/>
        </w:rPr>
      </w:pPr>
      <w:r w:rsidRPr="003F77FA">
        <w:rPr>
          <w:rFonts w:ascii="Times New Roman" w:eastAsia="Times New Roman" w:hAnsi="Times New Roman" w:cs="Times New Roman"/>
          <w:b/>
          <w:bCs/>
          <w:sz w:val="32"/>
          <w:szCs w:val="32"/>
          <w:lang w:eastAsia="es-CO"/>
        </w:rPr>
        <w:t>En efecto, en dicha doctrina se expresó que el artículo 3° del Decreto 1070 de 2013, fue modificado por el artículo 9° del Decreto 3032 de 2013, </w:t>
      </w:r>
      <w:r w:rsidRPr="003F77FA">
        <w:rPr>
          <w:rFonts w:ascii="Times New Roman" w:eastAsia="Times New Roman" w:hAnsi="Times New Roman" w:cs="Times New Roman"/>
          <w:b/>
          <w:bCs/>
          <w:i/>
          <w:iCs/>
          <w:sz w:val="32"/>
          <w:szCs w:val="32"/>
          <w:lang w:eastAsia="es-CO"/>
        </w:rPr>
        <w:t>"Contribuciones al Sistema General de Seguridad Social</w:t>
      </w:r>
      <w:r w:rsidRPr="003F77FA">
        <w:rPr>
          <w:rFonts w:ascii="Times New Roman" w:eastAsia="Times New Roman" w:hAnsi="Times New Roman" w:cs="Times New Roman"/>
          <w:b/>
          <w:bCs/>
          <w:i/>
          <w:iCs/>
          <w:sz w:val="32"/>
          <w:szCs w:val="32"/>
          <w:u w:val="single"/>
          <w:lang w:eastAsia="es-CO"/>
        </w:rPr>
        <w:t>", </w:t>
      </w:r>
      <w:r w:rsidRPr="003F77FA">
        <w:rPr>
          <w:rFonts w:ascii="Times New Roman" w:eastAsia="Times New Roman" w:hAnsi="Times New Roman" w:cs="Times New Roman"/>
          <w:b/>
          <w:bCs/>
          <w:sz w:val="32"/>
          <w:szCs w:val="32"/>
          <w:u w:val="single"/>
          <w:lang w:eastAsia="es-CO"/>
        </w:rPr>
        <w:t>circunscribía su aplicación a los contratos de prestación de servicios.</w:t>
      </w:r>
    </w:p>
    <w:p w14:paraId="318E7C35" w14:textId="77777777" w:rsidR="00986A76" w:rsidRPr="007341BD" w:rsidRDefault="00986A76" w:rsidP="00986A76">
      <w:pPr>
        <w:spacing w:after="0" w:line="240" w:lineRule="auto"/>
        <w:jc w:val="both"/>
        <w:rPr>
          <w:rFonts w:ascii="Times New Roman" w:eastAsia="Times New Roman" w:hAnsi="Times New Roman" w:cs="Times New Roman"/>
          <w:b/>
          <w:bCs/>
          <w:sz w:val="24"/>
          <w:szCs w:val="24"/>
          <w:lang w:eastAsia="es-CO"/>
        </w:rPr>
      </w:pPr>
      <w:r w:rsidRPr="007341BD">
        <w:rPr>
          <w:rFonts w:ascii="Times New Roman" w:eastAsia="Times New Roman" w:hAnsi="Times New Roman" w:cs="Times New Roman"/>
          <w:b/>
          <w:bCs/>
          <w:sz w:val="24"/>
          <w:szCs w:val="24"/>
          <w:lang w:eastAsia="es-CO"/>
        </w:rPr>
        <w:t> </w:t>
      </w:r>
    </w:p>
    <w:p w14:paraId="423FC7E2" w14:textId="77777777" w:rsidR="00986A76" w:rsidRPr="003F77FA" w:rsidRDefault="00986A76" w:rsidP="00986A76">
      <w:pPr>
        <w:spacing w:after="0" w:line="240" w:lineRule="auto"/>
        <w:jc w:val="both"/>
        <w:rPr>
          <w:rFonts w:ascii="Times New Roman" w:eastAsia="Times New Roman" w:hAnsi="Times New Roman" w:cs="Times New Roman"/>
          <w:sz w:val="32"/>
          <w:szCs w:val="32"/>
          <w:lang w:eastAsia="es-CO"/>
        </w:rPr>
      </w:pPr>
      <w:r w:rsidRPr="003F77FA">
        <w:rPr>
          <w:rFonts w:ascii="Times New Roman" w:eastAsia="Times New Roman" w:hAnsi="Times New Roman" w:cs="Times New Roman"/>
          <w:sz w:val="32"/>
          <w:szCs w:val="32"/>
          <w:highlight w:val="green"/>
          <w:lang w:eastAsia="es-CO"/>
        </w:rPr>
        <w:t xml:space="preserve">Pues bien, revisado el Decreto 1070 de 2013, específicamente el artículo 3, este fue compilado en el Decreto 1625 de 2016 en el artículo 1.2.4.1.7. y este no fue modificado sustancialmente. </w:t>
      </w:r>
      <w:r w:rsidRPr="005A568E">
        <w:rPr>
          <w:rFonts w:ascii="Times New Roman" w:eastAsia="Times New Roman" w:hAnsi="Times New Roman" w:cs="Times New Roman"/>
          <w:sz w:val="32"/>
          <w:szCs w:val="32"/>
          <w:highlight w:val="yellow"/>
          <w:lang w:eastAsia="es-CO"/>
        </w:rPr>
        <w:t>Por ende, no se presenta una situación que justifique un cambio doctrinal, por lo que puede concluirse que el contenido del Concepto 048258 de 2014 se encuentra vigente.</w:t>
      </w:r>
    </w:p>
    <w:p w14:paraId="23E3FFA5"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7CD32EE9"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En los anteriores términos se resuelve su consulta.</w:t>
      </w:r>
    </w:p>
    <w:p w14:paraId="4CBB95E8"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75A78815" w14:textId="7EC1C23A"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Atentamente,</w:t>
      </w:r>
    </w:p>
    <w:p w14:paraId="59FEC8CC" w14:textId="6D450726"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b/>
          <w:bCs/>
          <w:sz w:val="24"/>
          <w:szCs w:val="24"/>
          <w:lang w:eastAsia="es-CO"/>
        </w:rPr>
        <w:t>LORENZO CASTILLO BARVO</w:t>
      </w:r>
    </w:p>
    <w:p w14:paraId="1E6A23B0"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Subdirector de Gestión Normativa y Doctrina (E)</w:t>
      </w:r>
    </w:p>
    <w:p w14:paraId="68E7C7CA" w14:textId="0C27A732" w:rsid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Dirección de Gestión Jurídica</w:t>
      </w:r>
    </w:p>
    <w:p w14:paraId="6845D9CA" w14:textId="4487A1C5" w:rsidR="007341BD" w:rsidRPr="00986A76" w:rsidRDefault="007341BD" w:rsidP="00986A76">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w:t>
      </w:r>
    </w:p>
    <w:p w14:paraId="1EE87AB5" w14:textId="77777777" w:rsidR="006E62BE" w:rsidRPr="00986A76" w:rsidRDefault="006E62BE">
      <w:pPr>
        <w:rPr>
          <w:rFonts w:ascii="Times New Roman" w:hAnsi="Times New Roman" w:cs="Times New Roman"/>
          <w:sz w:val="24"/>
          <w:szCs w:val="24"/>
        </w:rPr>
      </w:pPr>
    </w:p>
    <w:sectPr w:rsidR="006E62BE" w:rsidRPr="00986A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76"/>
    <w:rsid w:val="003B5F97"/>
    <w:rsid w:val="003F77FA"/>
    <w:rsid w:val="005A568E"/>
    <w:rsid w:val="006E62BE"/>
    <w:rsid w:val="007341BD"/>
    <w:rsid w:val="00986A76"/>
    <w:rsid w:val="00ED06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0893"/>
  <w15:chartTrackingRefBased/>
  <w15:docId w15:val="{1B057225-BD69-4ED3-BC73-2EA855D0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71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513</Words>
  <Characters>2822</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6</cp:revision>
  <dcterms:created xsi:type="dcterms:W3CDTF">2019-10-02T02:28:00Z</dcterms:created>
  <dcterms:modified xsi:type="dcterms:W3CDTF">2020-09-25T15:10:00Z</dcterms:modified>
</cp:coreProperties>
</file>