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B2D2" w14:textId="77777777" w:rsidR="00535497" w:rsidRPr="00535497" w:rsidRDefault="00535497" w:rsidP="00535497">
      <w:pPr>
        <w:shd w:val="clear" w:color="auto" w:fill="FFFFFF"/>
        <w:spacing w:after="150" w:line="360" w:lineRule="auto"/>
        <w:jc w:val="center"/>
        <w:rPr>
          <w:rFonts w:eastAsia="Times New Roman" w:cs="Times New Roman"/>
          <w:szCs w:val="24"/>
          <w:lang w:eastAsia="es-CO"/>
        </w:rPr>
      </w:pPr>
      <w:r w:rsidRPr="00535497">
        <w:rPr>
          <w:rFonts w:eastAsia="Times New Roman" w:cs="Times New Roman"/>
          <w:b/>
          <w:bCs/>
          <w:szCs w:val="24"/>
          <w:lang w:eastAsia="es-CO"/>
        </w:rPr>
        <w:t xml:space="preserve">OFICIO </w:t>
      </w:r>
      <w:proofErr w:type="spellStart"/>
      <w:r w:rsidRPr="00535497">
        <w:rPr>
          <w:rFonts w:eastAsia="Times New Roman" w:cs="Times New Roman"/>
          <w:b/>
          <w:bCs/>
          <w:szCs w:val="24"/>
          <w:lang w:eastAsia="es-CO"/>
        </w:rPr>
        <w:t>Nº</w:t>
      </w:r>
      <w:proofErr w:type="spellEnd"/>
      <w:r w:rsidRPr="00535497">
        <w:rPr>
          <w:rFonts w:eastAsia="Times New Roman" w:cs="Times New Roman"/>
          <w:b/>
          <w:bCs/>
          <w:szCs w:val="24"/>
          <w:lang w:eastAsia="es-CO"/>
        </w:rPr>
        <w:t xml:space="preserve"> 1497 [908749]</w:t>
      </w:r>
    </w:p>
    <w:p w14:paraId="6822C248" w14:textId="77777777" w:rsidR="00535497" w:rsidRPr="00535497" w:rsidRDefault="00535497" w:rsidP="00535497">
      <w:pPr>
        <w:shd w:val="clear" w:color="auto" w:fill="FFFFFF"/>
        <w:spacing w:after="150" w:line="360" w:lineRule="auto"/>
        <w:jc w:val="center"/>
        <w:rPr>
          <w:rFonts w:eastAsia="Times New Roman" w:cs="Times New Roman"/>
          <w:szCs w:val="24"/>
          <w:lang w:eastAsia="es-CO"/>
        </w:rPr>
      </w:pPr>
      <w:r w:rsidRPr="00535497">
        <w:rPr>
          <w:rFonts w:eastAsia="Times New Roman" w:cs="Times New Roman"/>
          <w:b/>
          <w:bCs/>
          <w:szCs w:val="24"/>
          <w:lang w:eastAsia="es-CO"/>
        </w:rPr>
        <w:t>12-12-2022</w:t>
      </w:r>
    </w:p>
    <w:p w14:paraId="18843381" w14:textId="77777777" w:rsidR="00535497" w:rsidRPr="00535497" w:rsidRDefault="00535497" w:rsidP="00535497">
      <w:pPr>
        <w:shd w:val="clear" w:color="auto" w:fill="FFFFFF"/>
        <w:spacing w:after="150" w:line="360" w:lineRule="auto"/>
        <w:jc w:val="center"/>
        <w:rPr>
          <w:rFonts w:eastAsia="Times New Roman" w:cs="Times New Roman"/>
          <w:szCs w:val="24"/>
          <w:lang w:eastAsia="es-CO"/>
        </w:rPr>
      </w:pPr>
      <w:r w:rsidRPr="00535497">
        <w:rPr>
          <w:rFonts w:eastAsia="Times New Roman" w:cs="Times New Roman"/>
          <w:b/>
          <w:bCs/>
          <w:szCs w:val="24"/>
          <w:lang w:eastAsia="es-CO"/>
        </w:rPr>
        <w:t>DIAN</w:t>
      </w:r>
    </w:p>
    <w:p w14:paraId="22B8A332"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20598C02"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265CF036"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100208192-1497</w:t>
      </w:r>
    </w:p>
    <w:p w14:paraId="5678060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Bogotá, D.C.,</w:t>
      </w:r>
    </w:p>
    <w:p w14:paraId="558C4682"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3"/>
        <w:gridCol w:w="4406"/>
      </w:tblGrid>
      <w:tr w:rsidR="00535497" w:rsidRPr="00535497" w14:paraId="7509C92A" w14:textId="77777777" w:rsidTr="00535497">
        <w:tc>
          <w:tcPr>
            <w:tcW w:w="0" w:type="auto"/>
            <w:shd w:val="clear" w:color="auto" w:fill="FFFFFF"/>
            <w:tcMar>
              <w:top w:w="0" w:type="dxa"/>
              <w:left w:w="0" w:type="dxa"/>
              <w:bottom w:w="0" w:type="dxa"/>
              <w:right w:w="0" w:type="dxa"/>
            </w:tcMar>
            <w:hideMark/>
          </w:tcPr>
          <w:p w14:paraId="0179CEC2"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b/>
                <w:bCs/>
                <w:szCs w:val="24"/>
                <w:lang w:eastAsia="es-CO"/>
              </w:rPr>
              <w:t>Tema:</w:t>
            </w:r>
          </w:p>
        </w:tc>
        <w:tc>
          <w:tcPr>
            <w:tcW w:w="0" w:type="auto"/>
            <w:shd w:val="clear" w:color="auto" w:fill="FFFFFF"/>
            <w:tcMar>
              <w:top w:w="0" w:type="dxa"/>
              <w:left w:w="0" w:type="dxa"/>
              <w:bottom w:w="0" w:type="dxa"/>
              <w:right w:w="0" w:type="dxa"/>
            </w:tcMar>
            <w:hideMark/>
          </w:tcPr>
          <w:p w14:paraId="38FDA0AC"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szCs w:val="24"/>
                <w:lang w:eastAsia="es-CO"/>
              </w:rPr>
              <w:t>IVA</w:t>
            </w:r>
          </w:p>
        </w:tc>
      </w:tr>
      <w:tr w:rsidR="00535497" w:rsidRPr="00535497" w14:paraId="0A9155EB" w14:textId="77777777" w:rsidTr="00535497">
        <w:tc>
          <w:tcPr>
            <w:tcW w:w="0" w:type="auto"/>
            <w:shd w:val="clear" w:color="auto" w:fill="FFFFFF"/>
            <w:tcMar>
              <w:top w:w="0" w:type="dxa"/>
              <w:left w:w="0" w:type="dxa"/>
              <w:bottom w:w="0" w:type="dxa"/>
              <w:right w:w="0" w:type="dxa"/>
            </w:tcMar>
            <w:hideMark/>
          </w:tcPr>
          <w:p w14:paraId="13773E08"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b/>
                <w:bCs/>
                <w:szCs w:val="24"/>
                <w:lang w:eastAsia="es-CO"/>
              </w:rPr>
              <w:t>Descriptores:</w:t>
            </w:r>
          </w:p>
        </w:tc>
        <w:tc>
          <w:tcPr>
            <w:tcW w:w="0" w:type="auto"/>
            <w:shd w:val="clear" w:color="auto" w:fill="FFFFFF"/>
            <w:tcMar>
              <w:top w:w="0" w:type="dxa"/>
              <w:left w:w="0" w:type="dxa"/>
              <w:bottom w:w="0" w:type="dxa"/>
              <w:right w:w="0" w:type="dxa"/>
            </w:tcMar>
            <w:hideMark/>
          </w:tcPr>
          <w:p w14:paraId="6093706D" w14:textId="77777777" w:rsidR="00535497" w:rsidRPr="00535497" w:rsidRDefault="00535497" w:rsidP="00535497">
            <w:pPr>
              <w:spacing w:after="150" w:line="360" w:lineRule="auto"/>
              <w:jc w:val="both"/>
              <w:rPr>
                <w:rFonts w:eastAsia="Times New Roman" w:cs="Times New Roman"/>
                <w:szCs w:val="24"/>
                <w:lang w:eastAsia="es-CO"/>
              </w:rPr>
            </w:pPr>
            <w:r w:rsidRPr="00535497">
              <w:rPr>
                <w:rFonts w:eastAsia="Times New Roman" w:cs="Times New Roman"/>
                <w:szCs w:val="24"/>
                <w:lang w:eastAsia="es-CO"/>
              </w:rPr>
              <w:t>Períodos gravables del IVA</w:t>
            </w:r>
          </w:p>
          <w:p w14:paraId="134CF64B"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szCs w:val="24"/>
                <w:lang w:eastAsia="es-CO"/>
              </w:rPr>
              <w:t>Impuestos descontables</w:t>
            </w:r>
          </w:p>
        </w:tc>
      </w:tr>
      <w:tr w:rsidR="00535497" w:rsidRPr="00535497" w14:paraId="5B9D60AD" w14:textId="77777777" w:rsidTr="00535497">
        <w:tc>
          <w:tcPr>
            <w:tcW w:w="0" w:type="auto"/>
            <w:shd w:val="clear" w:color="auto" w:fill="FFFFFF"/>
            <w:tcMar>
              <w:top w:w="0" w:type="dxa"/>
              <w:left w:w="0" w:type="dxa"/>
              <w:bottom w:w="0" w:type="dxa"/>
              <w:right w:w="0" w:type="dxa"/>
            </w:tcMar>
            <w:hideMark/>
          </w:tcPr>
          <w:p w14:paraId="0499D478"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b/>
                <w:bCs/>
                <w:szCs w:val="24"/>
                <w:lang w:eastAsia="es-CO"/>
              </w:rPr>
              <w:t>Fuentes formales:</w:t>
            </w:r>
          </w:p>
        </w:tc>
        <w:tc>
          <w:tcPr>
            <w:tcW w:w="0" w:type="auto"/>
            <w:shd w:val="clear" w:color="auto" w:fill="FFFFFF"/>
            <w:tcMar>
              <w:top w:w="0" w:type="dxa"/>
              <w:left w:w="0" w:type="dxa"/>
              <w:bottom w:w="0" w:type="dxa"/>
              <w:right w:w="0" w:type="dxa"/>
            </w:tcMar>
            <w:hideMark/>
          </w:tcPr>
          <w:p w14:paraId="1C78A6A2"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szCs w:val="24"/>
                <w:lang w:eastAsia="es-CO"/>
              </w:rPr>
              <w:t>Artículos </w:t>
            </w:r>
            <w:r w:rsidRPr="00535497">
              <w:rPr>
                <w:rFonts w:eastAsia="Times New Roman" w:cs="Times New Roman"/>
                <w:szCs w:val="24"/>
                <w:u w:val="single"/>
                <w:lang w:eastAsia="es-CO"/>
              </w:rPr>
              <w:t>496</w:t>
            </w:r>
            <w:r w:rsidRPr="00535497">
              <w:rPr>
                <w:rFonts w:eastAsia="Times New Roman" w:cs="Times New Roman"/>
                <w:szCs w:val="24"/>
                <w:lang w:eastAsia="es-CO"/>
              </w:rPr>
              <w:t> y </w:t>
            </w:r>
            <w:r w:rsidRPr="00535497">
              <w:rPr>
                <w:rFonts w:eastAsia="Times New Roman" w:cs="Times New Roman"/>
                <w:szCs w:val="24"/>
                <w:u w:val="single"/>
                <w:lang w:eastAsia="es-CO"/>
              </w:rPr>
              <w:t>616-1</w:t>
            </w:r>
            <w:r w:rsidRPr="00535497">
              <w:rPr>
                <w:rFonts w:eastAsia="Times New Roman" w:cs="Times New Roman"/>
                <w:szCs w:val="24"/>
                <w:lang w:eastAsia="es-CO"/>
              </w:rPr>
              <w:t> del Estatuto Tributario.</w:t>
            </w:r>
          </w:p>
        </w:tc>
      </w:tr>
    </w:tbl>
    <w:p w14:paraId="3F92C62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7CC8C94A"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3DDF1724"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Cordial saludo</w:t>
      </w:r>
    </w:p>
    <w:p w14:paraId="32879247"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16036B3D"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35BE082" w14:textId="114DED35"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Mediante el radicado de la referencia, el peticionario consulta:</w:t>
      </w:r>
    </w:p>
    <w:p w14:paraId="29E95F1C" w14:textId="72062DAA"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“Para aquellos contribuyentes que </w:t>
      </w:r>
      <w:r w:rsidRPr="00535497">
        <w:rPr>
          <w:rFonts w:eastAsia="Times New Roman" w:cs="Times New Roman"/>
          <w:i/>
          <w:iCs/>
          <w:szCs w:val="24"/>
          <w:u w:val="single"/>
          <w:lang w:eastAsia="es-CO"/>
        </w:rPr>
        <w:t>necesiten soportar impuestos descontables,</w:t>
      </w:r>
      <w:r w:rsidRPr="00535497">
        <w:rPr>
          <w:rFonts w:eastAsia="Times New Roman" w:cs="Times New Roman"/>
          <w:i/>
          <w:iCs/>
          <w:szCs w:val="24"/>
          <w:lang w:eastAsia="es-CO"/>
        </w:rPr>
        <w:t> para las operaciones que se pacten a crédito, se requiere la confirmación de recibido de la factura electrónica y de la recepción del bien o servicio prestado (...) ¿Para el caso de los contribuyentes del impuesto sobre las ventas, estos 2 acuses de recibido </w:t>
      </w:r>
      <w:r w:rsidRPr="00535497">
        <w:rPr>
          <w:rFonts w:eastAsia="Times New Roman" w:cs="Times New Roman"/>
          <w:i/>
          <w:iCs/>
          <w:szCs w:val="24"/>
          <w:u w:val="single"/>
          <w:lang w:eastAsia="es-CO"/>
        </w:rPr>
        <w:t>se deben realizar dentro de los meses calendario que comprenden su periodicidad de IVA</w:t>
      </w:r>
      <w:r w:rsidRPr="00535497">
        <w:rPr>
          <w:rFonts w:eastAsia="Times New Roman" w:cs="Times New Roman"/>
          <w:i/>
          <w:iCs/>
          <w:szCs w:val="24"/>
          <w:lang w:eastAsia="es-CO"/>
        </w:rPr>
        <w:t>?, o ¿es viable incluir impuestos descontables sobre los cuales se realizó estos 2 acuses de recibido </w:t>
      </w:r>
      <w:r w:rsidRPr="00535497">
        <w:rPr>
          <w:rFonts w:eastAsia="Times New Roman" w:cs="Times New Roman"/>
          <w:i/>
          <w:iCs/>
          <w:szCs w:val="24"/>
          <w:u w:val="single"/>
          <w:lang w:eastAsia="es-CO"/>
        </w:rPr>
        <w:t>en el mes siguiente al período de la declaración pero antes del vencimiento para declarar</w:t>
      </w:r>
      <w:r w:rsidRPr="00535497">
        <w:rPr>
          <w:rFonts w:eastAsia="Times New Roman" w:cs="Times New Roman"/>
          <w:i/>
          <w:iCs/>
          <w:szCs w:val="24"/>
          <w:lang w:eastAsia="es-CO"/>
        </w:rPr>
        <w:t>?”</w:t>
      </w:r>
      <w:r w:rsidRPr="00535497">
        <w:rPr>
          <w:rFonts w:eastAsia="Times New Roman" w:cs="Times New Roman"/>
          <w:szCs w:val="24"/>
          <w:lang w:eastAsia="es-CO"/>
        </w:rPr>
        <w:t> (subrayado fuera de texto)</w:t>
      </w:r>
    </w:p>
    <w:p w14:paraId="78F27070"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07D06C8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Sobre el particular, las consideraciones de este Despacho son las siguientes:</w:t>
      </w:r>
    </w:p>
    <w:p w14:paraId="61E049FD"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lastRenderedPageBreak/>
        <w:t> </w:t>
      </w:r>
    </w:p>
    <w:p w14:paraId="74834BAB"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En el descriptor 5.1.5 “Obligatoriedad de confirmar el recibido de la factura electrónica de venta y de los bienes o servicios adquiridos mediante mensaje electrónico al facturador” del Concepto Unificado No. 0106 de 2022 - Obligación de facturar y sistema de factura electrónica, se indicó:</w:t>
      </w:r>
    </w:p>
    <w:p w14:paraId="11988D70" w14:textId="564843B8"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 todos los adquirentes de bienes y servicios adquiridos a crédito o con el otorgamiento de un plazo para el pago, que requieran soportar costos, deducciones en el impuesto sobre la renta e </w:t>
      </w:r>
      <w:r w:rsidRPr="00535497">
        <w:rPr>
          <w:rFonts w:eastAsia="Times New Roman" w:cs="Times New Roman"/>
          <w:i/>
          <w:iCs/>
          <w:szCs w:val="24"/>
          <w:u w:val="single"/>
          <w:lang w:eastAsia="es-CO"/>
        </w:rPr>
        <w:t>impuestos descontables en IVA, deberán remitir mensaje electrónico de confirmación de recibido de la factura electrónica de venta y el mensaje electrónico del recibido de los bienes o servicios adquiridos</w:t>
      </w:r>
      <w:r w:rsidRPr="00535497">
        <w:rPr>
          <w:rFonts w:eastAsia="Times New Roman" w:cs="Times New Roman"/>
          <w:i/>
          <w:iCs/>
          <w:szCs w:val="24"/>
          <w:lang w:eastAsia="es-CO"/>
        </w:rPr>
        <w:t> a través de la plataforma de facturación electrónica, para lo cual deberán adelantar el procedimiento de habilitación en el sistema electrónico.</w:t>
      </w:r>
    </w:p>
    <w:p w14:paraId="7A920C99" w14:textId="0DF5238B"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w:t>
      </w:r>
    </w:p>
    <w:p w14:paraId="4D9790AA" w14:textId="7E15A3FD"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Téngase en cuenta que dicho mensaje de confirmación </w:t>
      </w:r>
      <w:r w:rsidRPr="00535497">
        <w:rPr>
          <w:rFonts w:eastAsia="Times New Roman" w:cs="Times New Roman"/>
          <w:i/>
          <w:iCs/>
          <w:szCs w:val="24"/>
          <w:u w:val="single"/>
          <w:lang w:eastAsia="es-CO"/>
        </w:rPr>
        <w:t>únicamente es obligatorio </w:t>
      </w:r>
      <w:r w:rsidRPr="00535497">
        <w:rPr>
          <w:rFonts w:eastAsia="Times New Roman" w:cs="Times New Roman"/>
          <w:i/>
          <w:iCs/>
          <w:szCs w:val="24"/>
          <w:lang w:eastAsia="es-CO"/>
        </w:rPr>
        <w:t>para soportar costos y deducciones en renta y </w:t>
      </w:r>
      <w:r w:rsidRPr="00535497">
        <w:rPr>
          <w:rFonts w:eastAsia="Times New Roman" w:cs="Times New Roman"/>
          <w:i/>
          <w:iCs/>
          <w:szCs w:val="24"/>
          <w:u w:val="single"/>
          <w:lang w:eastAsia="es-CO"/>
        </w:rPr>
        <w:t>descontables en IVA</w:t>
      </w:r>
      <w:r w:rsidRPr="00535497">
        <w:rPr>
          <w:rFonts w:eastAsia="Times New Roman" w:cs="Times New Roman"/>
          <w:i/>
          <w:iCs/>
          <w:szCs w:val="24"/>
          <w:lang w:eastAsia="es-CO"/>
        </w:rPr>
        <w:t> cuando se trate de operaciones de venta de bienes o prestación de servicios a crédito o con un plazo para el pago. Puesto que así lo requiere el </w:t>
      </w:r>
      <w:r w:rsidRPr="00535497">
        <w:rPr>
          <w:rFonts w:eastAsia="Times New Roman" w:cs="Times New Roman"/>
          <w:i/>
          <w:iCs/>
          <w:szCs w:val="24"/>
          <w:u w:val="single"/>
          <w:lang w:eastAsia="es-CO"/>
        </w:rPr>
        <w:t>artículo 616-1</w:t>
      </w:r>
      <w:r w:rsidRPr="00535497">
        <w:rPr>
          <w:rFonts w:eastAsia="Times New Roman" w:cs="Times New Roman"/>
          <w:i/>
          <w:iCs/>
          <w:szCs w:val="24"/>
          <w:lang w:eastAsia="es-CO"/>
        </w:rPr>
        <w:t> del Estatuto Tributario vigente.”</w:t>
      </w:r>
      <w:r w:rsidRPr="00535497">
        <w:rPr>
          <w:rFonts w:eastAsia="Times New Roman" w:cs="Times New Roman"/>
          <w:szCs w:val="24"/>
          <w:lang w:eastAsia="es-CO"/>
        </w:rPr>
        <w:t> (subrayado fuera de texto)</w:t>
      </w:r>
    </w:p>
    <w:p w14:paraId="6CA5F43D" w14:textId="1E0B050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F9529F">
        <w:rPr>
          <w:rFonts w:eastAsia="Times New Roman" w:cs="Times New Roman"/>
          <w:szCs w:val="24"/>
          <w:highlight w:val="yellow"/>
          <w:lang w:eastAsia="es-CO"/>
        </w:rPr>
        <w:t>En cuanto a la oportunidad para remitir los referidos mensajes electrónicos de confirmación, valga destacar el siguiente aparte del </w:t>
      </w:r>
      <w:r w:rsidRPr="00F9529F">
        <w:rPr>
          <w:rFonts w:eastAsia="Times New Roman" w:cs="Times New Roman"/>
          <w:szCs w:val="24"/>
          <w:highlight w:val="yellow"/>
          <w:u w:val="single"/>
          <w:lang w:eastAsia="es-CO"/>
        </w:rPr>
        <w:t>artículo 616-1</w:t>
      </w:r>
      <w:r w:rsidRPr="00F9529F">
        <w:rPr>
          <w:rFonts w:eastAsia="Times New Roman" w:cs="Times New Roman"/>
          <w:szCs w:val="24"/>
          <w:highlight w:val="yellow"/>
          <w:lang w:eastAsia="es-CO"/>
        </w:rPr>
        <w:t> </w:t>
      </w:r>
      <w:r w:rsidRPr="00F9529F">
        <w:rPr>
          <w:rFonts w:eastAsia="Times New Roman" w:cs="Times New Roman"/>
          <w:i/>
          <w:iCs/>
          <w:szCs w:val="24"/>
          <w:highlight w:val="yellow"/>
          <w:lang w:eastAsia="es-CO"/>
        </w:rPr>
        <w:t>ibidem</w:t>
      </w:r>
      <w:r w:rsidRPr="00F9529F">
        <w:rPr>
          <w:rFonts w:eastAsia="Times New Roman" w:cs="Times New Roman"/>
          <w:szCs w:val="24"/>
          <w:highlight w:val="yellow"/>
          <w:lang w:eastAsia="es-CO"/>
        </w:rPr>
        <w:t>:</w:t>
      </w:r>
    </w:p>
    <w:p w14:paraId="196A5AEB" w14:textId="72EEE46B" w:rsidR="00535497" w:rsidRPr="00F9529F" w:rsidRDefault="00535497" w:rsidP="00535497">
      <w:pPr>
        <w:shd w:val="clear" w:color="auto" w:fill="FFFFFF"/>
        <w:spacing w:after="150" w:line="360" w:lineRule="auto"/>
        <w:jc w:val="both"/>
        <w:rPr>
          <w:rFonts w:eastAsia="Times New Roman" w:cs="Times New Roman"/>
          <w:sz w:val="32"/>
          <w:szCs w:val="32"/>
          <w:lang w:eastAsia="es-CO"/>
        </w:rPr>
      </w:pPr>
      <w:r w:rsidRPr="00F9529F">
        <w:rPr>
          <w:rFonts w:eastAsia="Times New Roman" w:cs="Times New Roman"/>
          <w:i/>
          <w:iCs/>
          <w:sz w:val="32"/>
          <w:szCs w:val="32"/>
          <w:highlight w:val="cyan"/>
          <w:lang w:eastAsia="es-CO"/>
        </w:rPr>
        <w:t>“(...) cuando la venta de un bien y/o prestación del servicio se realice a través de una factura electrónica de venta y la citada operación sea a crédito o de la misma se otorgue un plazo para el pago, el adquirente deberá confirmar el recibido de la factura electrónica de venta y de los bienes o servicios adquiridos mediante mensaje electrónico remitido al emisor para la expedición de la misma, </w:t>
      </w:r>
      <w:r w:rsidRPr="00F9529F">
        <w:rPr>
          <w:rFonts w:eastAsia="Times New Roman" w:cs="Times New Roman"/>
          <w:i/>
          <w:iCs/>
          <w:sz w:val="32"/>
          <w:szCs w:val="32"/>
          <w:highlight w:val="cyan"/>
          <w:u w:val="single"/>
          <w:lang w:eastAsia="es-CO"/>
        </w:rPr>
        <w:t>atendiendo a los plazos establecidos en las disposiciones que regulan la materia,</w:t>
      </w:r>
      <w:r w:rsidRPr="00F9529F">
        <w:rPr>
          <w:rFonts w:eastAsia="Times New Roman" w:cs="Times New Roman"/>
          <w:i/>
          <w:iCs/>
          <w:sz w:val="32"/>
          <w:szCs w:val="32"/>
          <w:highlight w:val="cyan"/>
          <w:lang w:eastAsia="es-CO"/>
        </w:rPr>
        <w:t> así como las condiciones, mecanismos, requisitos técnicos y tecnológicos establecidos por la Unidad Administrativa Especial Dirección de Impuestos y Aduanas Nacionales (DIAN)”</w:t>
      </w:r>
      <w:r w:rsidRPr="00F9529F">
        <w:rPr>
          <w:rFonts w:eastAsia="Times New Roman" w:cs="Times New Roman"/>
          <w:sz w:val="32"/>
          <w:szCs w:val="32"/>
          <w:highlight w:val="cyan"/>
          <w:lang w:eastAsia="es-CO"/>
        </w:rPr>
        <w:t> (subrayado fuera de texto)</w:t>
      </w:r>
    </w:p>
    <w:p w14:paraId="3A15820B" w14:textId="420FCBF4" w:rsidR="00535497" w:rsidRPr="00F9529F" w:rsidRDefault="00535497" w:rsidP="00535497">
      <w:pPr>
        <w:shd w:val="clear" w:color="auto" w:fill="FFFFFF"/>
        <w:spacing w:after="150" w:line="360" w:lineRule="auto"/>
        <w:jc w:val="both"/>
        <w:rPr>
          <w:rFonts w:eastAsia="Times New Roman" w:cs="Times New Roman"/>
          <w:sz w:val="28"/>
          <w:szCs w:val="28"/>
          <w:lang w:eastAsia="es-CO"/>
        </w:rPr>
      </w:pPr>
      <w:r w:rsidRPr="00F9529F">
        <w:rPr>
          <w:rFonts w:eastAsia="Times New Roman" w:cs="Times New Roman"/>
          <w:sz w:val="28"/>
          <w:szCs w:val="28"/>
          <w:highlight w:val="cyan"/>
          <w:lang w:eastAsia="es-CO"/>
        </w:rPr>
        <w:t>Es por ello que, frente a la periodicidad del IVA -regulada en el </w:t>
      </w:r>
      <w:r w:rsidRPr="00F9529F">
        <w:rPr>
          <w:rFonts w:eastAsia="Times New Roman" w:cs="Times New Roman"/>
          <w:sz w:val="28"/>
          <w:szCs w:val="28"/>
          <w:highlight w:val="cyan"/>
          <w:u w:val="single"/>
          <w:lang w:eastAsia="es-CO"/>
        </w:rPr>
        <w:t>artículo 600</w:t>
      </w:r>
      <w:r w:rsidRPr="00F9529F">
        <w:rPr>
          <w:rFonts w:eastAsia="Times New Roman" w:cs="Times New Roman"/>
          <w:sz w:val="28"/>
          <w:szCs w:val="28"/>
          <w:highlight w:val="cyan"/>
          <w:lang w:eastAsia="es-CO"/>
        </w:rPr>
        <w:t> del Estatuto Tributario- los mensajes electrónicos de confirmación aquí analizados no tienen incidencia alguna, ya que, en lo que al impuesto en comento se refiere, su alcance comprende los impuestos descontables más no el período gravable para declarar y pagar este tributo.</w:t>
      </w:r>
    </w:p>
    <w:p w14:paraId="662ABACF"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lastRenderedPageBreak/>
        <w:t> </w:t>
      </w:r>
    </w:p>
    <w:p w14:paraId="104D76BC"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Ahora bien, retomando lo atinente a los impuestos descontables, resulta menester examinar el artículo 496 </w:t>
      </w:r>
      <w:r w:rsidRPr="00535497">
        <w:rPr>
          <w:rFonts w:eastAsia="Times New Roman" w:cs="Times New Roman"/>
          <w:i/>
          <w:iCs/>
          <w:szCs w:val="24"/>
          <w:lang w:eastAsia="es-CO"/>
        </w:rPr>
        <w:t>ibidem</w:t>
      </w:r>
      <w:r w:rsidRPr="00535497">
        <w:rPr>
          <w:rFonts w:eastAsia="Times New Roman" w:cs="Times New Roman"/>
          <w:szCs w:val="24"/>
          <w:lang w:eastAsia="es-CO"/>
        </w:rPr>
        <w:t>, el cual reza:</w:t>
      </w:r>
    </w:p>
    <w:p w14:paraId="14741F6B" w14:textId="5833209C"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w:t>
      </w:r>
      <w:r w:rsidRPr="00535497">
        <w:rPr>
          <w:rFonts w:eastAsia="Times New Roman" w:cs="Times New Roman"/>
          <w:b/>
          <w:bCs/>
          <w:i/>
          <w:iCs/>
          <w:szCs w:val="24"/>
          <w:u w:val="single"/>
          <w:lang w:eastAsia="es-CO"/>
        </w:rPr>
        <w:t>ARTÍCULO 496</w:t>
      </w:r>
      <w:r w:rsidRPr="00535497">
        <w:rPr>
          <w:rFonts w:eastAsia="Times New Roman" w:cs="Times New Roman"/>
          <w:b/>
          <w:bCs/>
          <w:i/>
          <w:iCs/>
          <w:szCs w:val="24"/>
          <w:lang w:eastAsia="es-CO"/>
        </w:rPr>
        <w:t>. OPORTUNIDAD DE LOS DESCUENTOS.</w:t>
      </w:r>
      <w:r w:rsidRPr="00535497">
        <w:rPr>
          <w:rFonts w:eastAsia="Times New Roman" w:cs="Times New Roman"/>
          <w:i/>
          <w:iCs/>
          <w:szCs w:val="24"/>
          <w:lang w:eastAsia="es-CO"/>
        </w:rPr>
        <w:t> &lt;Artículo modificado por el artículo 194 de la Ley 1819 de 2016. El nuevo texto es el siguiente:&gt; Cuando se trate de responsables que deban declarar </w:t>
      </w:r>
      <w:r w:rsidRPr="00535497">
        <w:rPr>
          <w:rFonts w:eastAsia="Times New Roman" w:cs="Times New Roman"/>
          <w:i/>
          <w:iCs/>
          <w:szCs w:val="24"/>
          <w:u w:val="single"/>
          <w:lang w:eastAsia="es-CO"/>
        </w:rPr>
        <w:t>bimestralmente,</w:t>
      </w:r>
      <w:r w:rsidRPr="00535497">
        <w:rPr>
          <w:rFonts w:eastAsia="Times New Roman" w:cs="Times New Roman"/>
          <w:i/>
          <w:iCs/>
          <w:szCs w:val="24"/>
          <w:lang w:eastAsia="es-CO"/>
        </w:rPr>
        <w:t> las deducciones e impuestos descontables </w:t>
      </w:r>
      <w:r w:rsidRPr="00535497">
        <w:rPr>
          <w:rFonts w:eastAsia="Times New Roman" w:cs="Times New Roman"/>
          <w:i/>
          <w:iCs/>
          <w:szCs w:val="24"/>
          <w:u w:val="single"/>
          <w:lang w:eastAsia="es-CO"/>
        </w:rPr>
        <w:t>solo podrán contabilizarse en el período fiscal correspondiente a la fecha de su causación, o en uno de los tres períodos bimestrales inmediatamente siguientes, y solicitarse en la declaración del período en el cual se haya efectuado su contabilización</w:t>
      </w:r>
      <w:r w:rsidRPr="00535497">
        <w:rPr>
          <w:rFonts w:eastAsia="Times New Roman" w:cs="Times New Roman"/>
          <w:i/>
          <w:iCs/>
          <w:szCs w:val="24"/>
          <w:lang w:eastAsia="es-CO"/>
        </w:rPr>
        <w:t>.</w:t>
      </w:r>
    </w:p>
    <w:p w14:paraId="26088DE8" w14:textId="3B32F104"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Cuando se trate de responsables que deban declarar </w:t>
      </w:r>
      <w:r w:rsidRPr="00535497">
        <w:rPr>
          <w:rFonts w:eastAsia="Times New Roman" w:cs="Times New Roman"/>
          <w:i/>
          <w:iCs/>
          <w:szCs w:val="24"/>
          <w:u w:val="single"/>
          <w:lang w:eastAsia="es-CO"/>
        </w:rPr>
        <w:t>cuatrimestralmente,</w:t>
      </w:r>
      <w:r w:rsidRPr="00535497">
        <w:rPr>
          <w:rFonts w:eastAsia="Times New Roman" w:cs="Times New Roman"/>
          <w:i/>
          <w:iCs/>
          <w:szCs w:val="24"/>
          <w:lang w:eastAsia="es-CO"/>
        </w:rPr>
        <w:t> las deducciones e impuestos descontables </w:t>
      </w:r>
      <w:r w:rsidRPr="00535497">
        <w:rPr>
          <w:rFonts w:eastAsia="Times New Roman" w:cs="Times New Roman"/>
          <w:i/>
          <w:iCs/>
          <w:szCs w:val="24"/>
          <w:u w:val="single"/>
          <w:lang w:eastAsia="es-CO"/>
        </w:rPr>
        <w:t>solo podrán contabilizarse en el período fiscal correspondiente a la fecha de su causación, o en el período cuatrimestral inmediatamente siguiente, y solicitarse en la declaración del período en el cual se haya efectuado su contabilización</w:t>
      </w:r>
      <w:r w:rsidRPr="00535497">
        <w:rPr>
          <w:rFonts w:eastAsia="Times New Roman" w:cs="Times New Roman"/>
          <w:i/>
          <w:iCs/>
          <w:szCs w:val="24"/>
          <w:lang w:eastAsia="es-CO"/>
        </w:rPr>
        <w:t>.</w:t>
      </w:r>
    </w:p>
    <w:p w14:paraId="3138D027"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6B963DF5"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w:t>
      </w:r>
      <w:r w:rsidRPr="00535497">
        <w:rPr>
          <w:rFonts w:eastAsia="Times New Roman" w:cs="Times New Roman"/>
          <w:szCs w:val="24"/>
          <w:lang w:eastAsia="es-CO"/>
        </w:rPr>
        <w:t> (subrayado fuera de texto)</w:t>
      </w:r>
    </w:p>
    <w:p w14:paraId="7DD3DF61" w14:textId="77777777" w:rsidR="00535497" w:rsidRPr="00F9529F" w:rsidRDefault="00535497" w:rsidP="00535497">
      <w:pPr>
        <w:shd w:val="clear" w:color="auto" w:fill="FFFFFF"/>
        <w:spacing w:after="150" w:line="360" w:lineRule="auto"/>
        <w:jc w:val="both"/>
        <w:rPr>
          <w:rFonts w:eastAsia="Times New Roman" w:cs="Times New Roman"/>
          <w:sz w:val="32"/>
          <w:szCs w:val="32"/>
          <w:lang w:eastAsia="es-CO"/>
        </w:rPr>
      </w:pPr>
      <w:r w:rsidRPr="00F9529F">
        <w:rPr>
          <w:rFonts w:eastAsia="Times New Roman" w:cs="Times New Roman"/>
          <w:sz w:val="32"/>
          <w:szCs w:val="32"/>
          <w:lang w:eastAsia="es-CO"/>
        </w:rPr>
        <w:t> </w:t>
      </w:r>
    </w:p>
    <w:p w14:paraId="442D8459" w14:textId="77777777" w:rsidR="00535497" w:rsidRPr="00F9529F" w:rsidRDefault="00535497" w:rsidP="00535497">
      <w:pPr>
        <w:shd w:val="clear" w:color="auto" w:fill="FFFFFF"/>
        <w:spacing w:after="150" w:line="360" w:lineRule="auto"/>
        <w:jc w:val="both"/>
        <w:rPr>
          <w:rFonts w:eastAsia="Times New Roman" w:cs="Times New Roman"/>
          <w:sz w:val="32"/>
          <w:szCs w:val="32"/>
          <w:lang w:eastAsia="es-CO"/>
        </w:rPr>
      </w:pPr>
      <w:r w:rsidRPr="00F9529F">
        <w:rPr>
          <w:rFonts w:eastAsia="Times New Roman" w:cs="Times New Roman"/>
          <w:b/>
          <w:bCs/>
          <w:sz w:val="32"/>
          <w:szCs w:val="32"/>
          <w:highlight w:val="yellow"/>
          <w:lang w:eastAsia="es-CO"/>
        </w:rPr>
        <w:t>Por ende, tratándose de la venta de bienes y/o prestación de servicios que se realice a través de factura electrónica de venta, que sea a crédito o de la misma se otorgue un plazo para el pago y dé lugar a impuestos descontables (cfr. </w:t>
      </w:r>
      <w:r w:rsidRPr="00F9529F">
        <w:rPr>
          <w:rFonts w:eastAsia="Times New Roman" w:cs="Times New Roman"/>
          <w:b/>
          <w:bCs/>
          <w:sz w:val="32"/>
          <w:szCs w:val="32"/>
          <w:highlight w:val="yellow"/>
          <w:u w:val="single"/>
          <w:lang w:eastAsia="es-CO"/>
        </w:rPr>
        <w:t>artículo 488</w:t>
      </w:r>
      <w:r w:rsidRPr="00F9529F">
        <w:rPr>
          <w:rFonts w:eastAsia="Times New Roman" w:cs="Times New Roman"/>
          <w:b/>
          <w:bCs/>
          <w:sz w:val="32"/>
          <w:szCs w:val="32"/>
          <w:highlight w:val="yellow"/>
          <w:lang w:eastAsia="es-CO"/>
        </w:rPr>
        <w:t> del Estatuto Tributario),</w:t>
      </w:r>
      <w:r w:rsidRPr="00F9529F">
        <w:rPr>
          <w:rFonts w:eastAsia="Times New Roman" w:cs="Times New Roman"/>
          <w:sz w:val="32"/>
          <w:szCs w:val="32"/>
          <w:lang w:eastAsia="es-CO"/>
        </w:rPr>
        <w:t xml:space="preserve"> </w:t>
      </w:r>
      <w:r w:rsidRPr="00F9529F">
        <w:rPr>
          <w:rFonts w:eastAsia="Times New Roman" w:cs="Times New Roman"/>
          <w:sz w:val="32"/>
          <w:szCs w:val="32"/>
          <w:highlight w:val="cyan"/>
          <w:lang w:eastAsia="es-CO"/>
        </w:rPr>
        <w:t>estos últimos deberán solicitarse en la oportunidad contemplada en el </w:t>
      </w:r>
      <w:r w:rsidRPr="00F9529F">
        <w:rPr>
          <w:rFonts w:eastAsia="Times New Roman" w:cs="Times New Roman"/>
          <w:sz w:val="32"/>
          <w:szCs w:val="32"/>
          <w:highlight w:val="cyan"/>
          <w:u w:val="single"/>
          <w:lang w:eastAsia="es-CO"/>
        </w:rPr>
        <w:t>artículo 496</w:t>
      </w:r>
      <w:r w:rsidRPr="00F9529F">
        <w:rPr>
          <w:rFonts w:eastAsia="Times New Roman" w:cs="Times New Roman"/>
          <w:sz w:val="32"/>
          <w:szCs w:val="32"/>
          <w:highlight w:val="cyan"/>
          <w:lang w:eastAsia="es-CO"/>
        </w:rPr>
        <w:t> </w:t>
      </w:r>
      <w:r w:rsidRPr="00F9529F">
        <w:rPr>
          <w:rFonts w:eastAsia="Times New Roman" w:cs="Times New Roman"/>
          <w:i/>
          <w:iCs/>
          <w:sz w:val="32"/>
          <w:szCs w:val="32"/>
          <w:highlight w:val="cyan"/>
          <w:lang w:eastAsia="es-CO"/>
        </w:rPr>
        <w:t>ibidem</w:t>
      </w:r>
      <w:r w:rsidRPr="00F9529F">
        <w:rPr>
          <w:rFonts w:eastAsia="Times New Roman" w:cs="Times New Roman"/>
          <w:sz w:val="32"/>
          <w:szCs w:val="32"/>
          <w:highlight w:val="cyan"/>
          <w:lang w:eastAsia="es-CO"/>
        </w:rPr>
        <w:t> para lo cual será necesario remitir -de manera previa- los mensajes electrónicos de confirmación de recibido de la factura y de los bienes y/o servicios adquiridos, de acuerdo con lo señalado en el </w:t>
      </w:r>
      <w:r w:rsidRPr="00F9529F">
        <w:rPr>
          <w:rFonts w:eastAsia="Times New Roman" w:cs="Times New Roman"/>
          <w:sz w:val="32"/>
          <w:szCs w:val="32"/>
          <w:highlight w:val="cyan"/>
          <w:u w:val="single"/>
          <w:lang w:eastAsia="es-CO"/>
        </w:rPr>
        <w:t>artículo 616-1</w:t>
      </w:r>
      <w:r w:rsidRPr="00F9529F">
        <w:rPr>
          <w:rFonts w:eastAsia="Times New Roman" w:cs="Times New Roman"/>
          <w:sz w:val="32"/>
          <w:szCs w:val="32"/>
          <w:highlight w:val="cyan"/>
          <w:lang w:eastAsia="es-CO"/>
        </w:rPr>
        <w:t> </w:t>
      </w:r>
      <w:r w:rsidRPr="00F9529F">
        <w:rPr>
          <w:rFonts w:eastAsia="Times New Roman" w:cs="Times New Roman"/>
          <w:i/>
          <w:iCs/>
          <w:sz w:val="32"/>
          <w:szCs w:val="32"/>
          <w:highlight w:val="cyan"/>
          <w:lang w:eastAsia="es-CO"/>
        </w:rPr>
        <w:t>ibidem</w:t>
      </w:r>
      <w:r w:rsidRPr="00F9529F">
        <w:rPr>
          <w:rFonts w:eastAsia="Times New Roman" w:cs="Times New Roman"/>
          <w:sz w:val="32"/>
          <w:szCs w:val="32"/>
          <w:highlight w:val="cyan"/>
          <w:lang w:eastAsia="es-CO"/>
        </w:rPr>
        <w:t> y su reglamentación (cfr. Resolución DIAN No. 000085 de 2022).</w:t>
      </w:r>
    </w:p>
    <w:p w14:paraId="1734DD28" w14:textId="77777777" w:rsidR="00F9529F" w:rsidRDefault="00535497" w:rsidP="00535497">
      <w:pPr>
        <w:shd w:val="clear" w:color="auto" w:fill="FFFFFF"/>
        <w:spacing w:after="150" w:line="360" w:lineRule="auto"/>
        <w:jc w:val="both"/>
        <w:rPr>
          <w:rFonts w:eastAsia="Times New Roman" w:cs="Times New Roman"/>
          <w:b/>
          <w:bCs/>
          <w:sz w:val="32"/>
          <w:szCs w:val="32"/>
          <w:u w:val="single"/>
          <w:lang w:eastAsia="es-CO"/>
        </w:rPr>
      </w:pPr>
      <w:r w:rsidRPr="00535497">
        <w:rPr>
          <w:rFonts w:eastAsia="Times New Roman" w:cs="Times New Roman"/>
          <w:b/>
          <w:bCs/>
          <w:szCs w:val="24"/>
          <w:highlight w:val="cyan"/>
          <w:lang w:eastAsia="es-CO"/>
        </w:rPr>
        <w:t xml:space="preserve">En otras palabras, ya que los referidos mensajes electrónicos de confirmación cumplen la </w:t>
      </w:r>
      <w:r w:rsidRPr="00F9529F">
        <w:rPr>
          <w:rFonts w:eastAsia="Times New Roman" w:cs="Times New Roman"/>
          <w:b/>
          <w:bCs/>
          <w:sz w:val="32"/>
          <w:szCs w:val="32"/>
          <w:highlight w:val="cyan"/>
          <w:lang w:eastAsia="es-CO"/>
        </w:rPr>
        <w:t xml:space="preserve">función de soportar impuestos descontables (sin ser los únicos documentos configurados para ello), entre otros conceptos, </w:t>
      </w:r>
      <w:r w:rsidRPr="00F9529F">
        <w:rPr>
          <w:rFonts w:eastAsia="Times New Roman" w:cs="Times New Roman"/>
          <w:b/>
          <w:bCs/>
          <w:sz w:val="32"/>
          <w:szCs w:val="32"/>
          <w:highlight w:val="cyan"/>
          <w:u w:val="single"/>
          <w:lang w:eastAsia="es-CO"/>
        </w:rPr>
        <w:t>su envío debe necesariamente efectuarse antes de solicitarse estos últimos en la declaración del IVA del respectivo período gravable.</w:t>
      </w:r>
    </w:p>
    <w:p w14:paraId="23022B66" w14:textId="170EFA4E" w:rsidR="00535497" w:rsidRPr="00F9529F" w:rsidRDefault="00F9529F" w:rsidP="00535497">
      <w:pPr>
        <w:shd w:val="clear" w:color="auto" w:fill="FFFFFF"/>
        <w:spacing w:after="150" w:line="360" w:lineRule="auto"/>
        <w:jc w:val="both"/>
        <w:rPr>
          <w:rFonts w:eastAsia="Times New Roman" w:cs="Times New Roman"/>
          <w:sz w:val="32"/>
          <w:szCs w:val="32"/>
          <w:lang w:eastAsia="es-CO"/>
        </w:rPr>
      </w:pPr>
      <w:r w:rsidRPr="00F9529F">
        <w:rPr>
          <w:rFonts w:eastAsia="Times New Roman" w:cs="Times New Roman"/>
          <w:szCs w:val="24"/>
          <w:lang w:eastAsia="es-CO"/>
        </w:rPr>
        <w:lastRenderedPageBreak/>
        <w:t>A</w:t>
      </w:r>
      <w:r w:rsidR="00535497" w:rsidRPr="00F9529F">
        <w:rPr>
          <w:rFonts w:eastAsia="Times New Roman" w:cs="Times New Roman"/>
          <w:szCs w:val="24"/>
          <w:lang w:eastAsia="es-CO"/>
        </w:rPr>
        <w:t>tentamente,</w:t>
      </w:r>
    </w:p>
    <w:p w14:paraId="639DDC13" w14:textId="77777777" w:rsidR="00535497" w:rsidRDefault="00535497" w:rsidP="00535497">
      <w:pPr>
        <w:shd w:val="clear" w:color="auto" w:fill="FFFFFF"/>
        <w:spacing w:after="150" w:line="360" w:lineRule="auto"/>
        <w:jc w:val="both"/>
        <w:rPr>
          <w:rFonts w:eastAsia="Times New Roman" w:cs="Times New Roman"/>
          <w:szCs w:val="24"/>
          <w:lang w:eastAsia="es-CO"/>
        </w:rPr>
      </w:pPr>
    </w:p>
    <w:p w14:paraId="4A62E536" w14:textId="4CFB66A6"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b/>
          <w:bCs/>
          <w:szCs w:val="24"/>
          <w:lang w:eastAsia="es-CO"/>
        </w:rPr>
        <w:t>ALFREDO RAMÍREZ CASTAÑEDA</w:t>
      </w:r>
    </w:p>
    <w:p w14:paraId="4F002826"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Subdirector de Normativa y Doctrina (E)</w:t>
      </w:r>
    </w:p>
    <w:p w14:paraId="54112A59"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Dirección de Gestión Jurídica</w:t>
      </w:r>
    </w:p>
    <w:p w14:paraId="31926B6E" w14:textId="3A10A2B7" w:rsid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UAE-Dirección de Impuestos y Aduanas Nacionales</w:t>
      </w:r>
    </w:p>
    <w:p w14:paraId="2B3F09D8" w14:textId="24CEE851" w:rsidR="00535497" w:rsidRPr="00535497" w:rsidRDefault="00535497" w:rsidP="00535497">
      <w:pPr>
        <w:shd w:val="clear" w:color="auto" w:fill="FFFFFF"/>
        <w:spacing w:after="150" w:line="360" w:lineRule="auto"/>
        <w:jc w:val="both"/>
        <w:rPr>
          <w:rFonts w:eastAsia="Times New Roman" w:cs="Times New Roman"/>
          <w:szCs w:val="24"/>
          <w:lang w:eastAsia="es-CO"/>
        </w:rPr>
      </w:pPr>
      <w:r>
        <w:rPr>
          <w:rFonts w:eastAsia="Times New Roman" w:cs="Times New Roman"/>
          <w:szCs w:val="24"/>
          <w:lang w:eastAsia="es-CO"/>
        </w:rPr>
        <w:t>_____________________________________________________________________________</w:t>
      </w:r>
    </w:p>
    <w:p w14:paraId="59301F4B" w14:textId="77777777" w:rsidR="00535497" w:rsidRPr="00535497" w:rsidRDefault="00535497" w:rsidP="00535497">
      <w:pPr>
        <w:shd w:val="clear" w:color="auto" w:fill="FFFFFF"/>
        <w:spacing w:after="0" w:line="360" w:lineRule="auto"/>
        <w:jc w:val="both"/>
        <w:rPr>
          <w:rFonts w:eastAsia="Times New Roman" w:cs="Times New Roman"/>
          <w:szCs w:val="24"/>
          <w:lang w:eastAsia="es-CO"/>
        </w:rPr>
      </w:pPr>
      <w:r w:rsidRPr="00535497">
        <w:rPr>
          <w:rFonts w:eastAsia="Times New Roman" w:cs="Times New Roman"/>
          <w:szCs w:val="24"/>
          <w:lang w:eastAsia="es-CO"/>
        </w:rPr>
        <w:t> </w:t>
      </w:r>
    </w:p>
    <w:p w14:paraId="07305600" w14:textId="77777777" w:rsidR="007F5CC8" w:rsidRPr="00535497" w:rsidRDefault="007F5CC8" w:rsidP="00535497">
      <w:pPr>
        <w:spacing w:line="360" w:lineRule="auto"/>
        <w:jc w:val="both"/>
        <w:rPr>
          <w:rFonts w:cs="Times New Roman"/>
          <w:szCs w:val="24"/>
        </w:rPr>
      </w:pPr>
    </w:p>
    <w:p w14:paraId="2B31D848" w14:textId="77777777" w:rsidR="00535497" w:rsidRPr="00535497" w:rsidRDefault="00535497">
      <w:pPr>
        <w:spacing w:line="360" w:lineRule="auto"/>
        <w:jc w:val="both"/>
        <w:rPr>
          <w:rFonts w:cs="Times New Roman"/>
          <w:szCs w:val="24"/>
        </w:rPr>
      </w:pPr>
    </w:p>
    <w:sectPr w:rsidR="00535497" w:rsidRPr="00535497"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97"/>
    <w:rsid w:val="000F3837"/>
    <w:rsid w:val="001E311E"/>
    <w:rsid w:val="00434AE6"/>
    <w:rsid w:val="00535497"/>
    <w:rsid w:val="007F5CC8"/>
    <w:rsid w:val="008779BE"/>
    <w:rsid w:val="00EB5ADB"/>
    <w:rsid w:val="00F9529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69E5"/>
  <w15:chartTrackingRefBased/>
  <w15:docId w15:val="{F21FBD87-699E-41B3-892E-613F1059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5310</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Diana Alexandra Orozco López</cp:lastModifiedBy>
  <cp:revision>2</cp:revision>
  <dcterms:created xsi:type="dcterms:W3CDTF">2023-02-07T18:57:00Z</dcterms:created>
  <dcterms:modified xsi:type="dcterms:W3CDTF">2023-02-22T14:57:00Z</dcterms:modified>
</cp:coreProperties>
</file>