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42967" w14:textId="77777777" w:rsidR="008D7606" w:rsidRDefault="008D7606" w:rsidP="008D7606">
      <w:pPr>
        <w:pStyle w:val="NormalWeb"/>
        <w:spacing w:before="0" w:beforeAutospacing="0" w:after="0" w:afterAutospacing="0"/>
        <w:jc w:val="both"/>
        <w:rPr>
          <w:rFonts w:ascii="Segoe UI" w:hAnsi="Segoe UI" w:cs="Segoe UI"/>
          <w:b/>
          <w:bCs/>
          <w:color w:val="000000"/>
          <w:sz w:val="21"/>
          <w:szCs w:val="21"/>
        </w:rPr>
      </w:pPr>
    </w:p>
    <w:p w14:paraId="2068210C" w14:textId="77777777" w:rsidR="008D7606" w:rsidRDefault="008D7606" w:rsidP="008D7606">
      <w:pPr>
        <w:pStyle w:val="NormalWeb"/>
        <w:spacing w:before="0" w:beforeAutospacing="0" w:after="0" w:afterAutospacing="0"/>
        <w:jc w:val="both"/>
        <w:rPr>
          <w:rFonts w:ascii="Segoe UI" w:hAnsi="Segoe UI" w:cs="Segoe UI"/>
          <w:b/>
          <w:bCs/>
          <w:color w:val="000000"/>
          <w:sz w:val="21"/>
          <w:szCs w:val="21"/>
        </w:rPr>
      </w:pPr>
    </w:p>
    <w:p w14:paraId="3CA795F1" w14:textId="77777777" w:rsidR="008D7606" w:rsidRPr="008D7606" w:rsidRDefault="008D7606" w:rsidP="008D7606">
      <w:pPr>
        <w:spacing w:after="0" w:line="240" w:lineRule="auto"/>
        <w:jc w:val="center"/>
        <w:rPr>
          <w:rFonts w:ascii="Segoe UI" w:eastAsia="Times New Roman" w:hAnsi="Segoe UI" w:cs="Segoe UI"/>
          <w:color w:val="000000"/>
          <w:sz w:val="21"/>
          <w:szCs w:val="21"/>
          <w:lang w:eastAsia="es-CO"/>
        </w:rPr>
      </w:pPr>
      <w:r w:rsidRPr="008D7606">
        <w:rPr>
          <w:rFonts w:ascii="Segoe UI" w:eastAsia="Times New Roman" w:hAnsi="Segoe UI" w:cs="Segoe UI"/>
          <w:b/>
          <w:bCs/>
          <w:color w:val="000000"/>
          <w:sz w:val="21"/>
          <w:szCs w:val="21"/>
          <w:lang w:eastAsia="es-CO"/>
        </w:rPr>
        <w:t xml:space="preserve">OFICIO </w:t>
      </w:r>
      <w:proofErr w:type="spellStart"/>
      <w:r w:rsidRPr="008D7606">
        <w:rPr>
          <w:rFonts w:ascii="Segoe UI" w:eastAsia="Times New Roman" w:hAnsi="Segoe UI" w:cs="Segoe UI"/>
          <w:b/>
          <w:bCs/>
          <w:color w:val="000000"/>
          <w:sz w:val="21"/>
          <w:szCs w:val="21"/>
          <w:lang w:eastAsia="es-CO"/>
        </w:rPr>
        <w:t>Nº</w:t>
      </w:r>
      <w:proofErr w:type="spellEnd"/>
      <w:r w:rsidRPr="008D7606">
        <w:rPr>
          <w:rFonts w:ascii="Segoe UI" w:eastAsia="Times New Roman" w:hAnsi="Segoe UI" w:cs="Segoe UI"/>
          <w:b/>
          <w:bCs/>
          <w:color w:val="000000"/>
          <w:sz w:val="21"/>
          <w:szCs w:val="21"/>
          <w:lang w:eastAsia="es-CO"/>
        </w:rPr>
        <w:t xml:space="preserve"> 1433 [908351]</w:t>
      </w:r>
    </w:p>
    <w:p w14:paraId="043008CF" w14:textId="77777777" w:rsidR="008D7606" w:rsidRPr="008D7606" w:rsidRDefault="008D7606" w:rsidP="008D7606">
      <w:pPr>
        <w:spacing w:after="0" w:line="240" w:lineRule="auto"/>
        <w:jc w:val="center"/>
        <w:rPr>
          <w:rFonts w:ascii="Segoe UI" w:eastAsia="Times New Roman" w:hAnsi="Segoe UI" w:cs="Segoe UI"/>
          <w:color w:val="000000"/>
          <w:sz w:val="21"/>
          <w:szCs w:val="21"/>
          <w:lang w:eastAsia="es-CO"/>
        </w:rPr>
      </w:pPr>
      <w:r w:rsidRPr="008D7606">
        <w:rPr>
          <w:rFonts w:ascii="Segoe UI" w:eastAsia="Times New Roman" w:hAnsi="Segoe UI" w:cs="Segoe UI"/>
          <w:b/>
          <w:bCs/>
          <w:color w:val="000000"/>
          <w:sz w:val="21"/>
          <w:szCs w:val="21"/>
          <w:lang w:eastAsia="es-CO"/>
        </w:rPr>
        <w:t>21-11-2022</w:t>
      </w:r>
    </w:p>
    <w:p w14:paraId="41CEA0E6" w14:textId="77777777" w:rsidR="008D7606" w:rsidRPr="008D7606" w:rsidRDefault="008D7606" w:rsidP="008D7606">
      <w:pPr>
        <w:spacing w:after="0" w:line="240" w:lineRule="auto"/>
        <w:jc w:val="center"/>
        <w:rPr>
          <w:rFonts w:ascii="Segoe UI" w:eastAsia="Times New Roman" w:hAnsi="Segoe UI" w:cs="Segoe UI"/>
          <w:color w:val="000000"/>
          <w:sz w:val="21"/>
          <w:szCs w:val="21"/>
          <w:lang w:eastAsia="es-CO"/>
        </w:rPr>
      </w:pPr>
      <w:r w:rsidRPr="008D7606">
        <w:rPr>
          <w:rFonts w:ascii="Segoe UI" w:eastAsia="Times New Roman" w:hAnsi="Segoe UI" w:cs="Segoe UI"/>
          <w:b/>
          <w:bCs/>
          <w:color w:val="000000"/>
          <w:sz w:val="21"/>
          <w:szCs w:val="21"/>
          <w:lang w:eastAsia="es-CO"/>
        </w:rPr>
        <w:t>DIAN</w:t>
      </w:r>
    </w:p>
    <w:p w14:paraId="2EFF7E22"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1A96AB61"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21397797"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100208192-1433</w:t>
      </w:r>
    </w:p>
    <w:p w14:paraId="34AD9D0B"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Bogotá, D.C.,</w:t>
      </w:r>
    </w:p>
    <w:p w14:paraId="036E89E3"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tbl>
      <w:tblPr>
        <w:tblW w:w="0" w:type="auto"/>
        <w:tblCellMar>
          <w:top w:w="15" w:type="dxa"/>
          <w:left w:w="15" w:type="dxa"/>
          <w:bottom w:w="15" w:type="dxa"/>
          <w:right w:w="15" w:type="dxa"/>
        </w:tblCellMar>
        <w:tblLook w:val="04A0" w:firstRow="1" w:lastRow="0" w:firstColumn="1" w:lastColumn="0" w:noHBand="0" w:noVBand="1"/>
      </w:tblPr>
      <w:tblGrid>
        <w:gridCol w:w="2270"/>
        <w:gridCol w:w="6633"/>
      </w:tblGrid>
      <w:tr w:rsidR="008D7606" w:rsidRPr="008D7606" w14:paraId="40CB7A9E" w14:textId="77777777" w:rsidTr="008D7606">
        <w:tc>
          <w:tcPr>
            <w:tcW w:w="2270" w:type="dxa"/>
            <w:tcBorders>
              <w:top w:val="nil"/>
              <w:left w:val="nil"/>
              <w:bottom w:val="nil"/>
              <w:right w:val="nil"/>
            </w:tcBorders>
            <w:tcMar>
              <w:top w:w="0" w:type="dxa"/>
              <w:left w:w="105" w:type="dxa"/>
              <w:bottom w:w="0" w:type="dxa"/>
              <w:right w:w="105" w:type="dxa"/>
            </w:tcMar>
            <w:hideMark/>
          </w:tcPr>
          <w:p w14:paraId="42AC899B" w14:textId="77777777" w:rsidR="008D7606" w:rsidRPr="008D7606" w:rsidRDefault="008D7606" w:rsidP="008D7606">
            <w:pPr>
              <w:spacing w:after="0" w:line="240" w:lineRule="auto"/>
              <w:jc w:val="both"/>
              <w:rPr>
                <w:rFonts w:ascii="Segoe UI" w:eastAsia="Times New Roman" w:hAnsi="Segoe UI" w:cs="Segoe UI"/>
                <w:sz w:val="21"/>
                <w:szCs w:val="21"/>
                <w:lang w:eastAsia="es-CO"/>
              </w:rPr>
            </w:pPr>
            <w:r w:rsidRPr="008D7606">
              <w:rPr>
                <w:rFonts w:ascii="Segoe UI" w:eastAsia="Times New Roman" w:hAnsi="Segoe UI" w:cs="Segoe UI"/>
                <w:b/>
                <w:bCs/>
                <w:sz w:val="21"/>
                <w:szCs w:val="21"/>
                <w:lang w:eastAsia="es-CO"/>
              </w:rPr>
              <w:t>Tema:</w:t>
            </w:r>
          </w:p>
        </w:tc>
        <w:tc>
          <w:tcPr>
            <w:tcW w:w="6633" w:type="dxa"/>
            <w:tcBorders>
              <w:top w:val="nil"/>
              <w:left w:val="nil"/>
              <w:bottom w:val="nil"/>
              <w:right w:val="nil"/>
            </w:tcBorders>
            <w:tcMar>
              <w:top w:w="0" w:type="dxa"/>
              <w:left w:w="105" w:type="dxa"/>
              <w:bottom w:w="0" w:type="dxa"/>
              <w:right w:w="105" w:type="dxa"/>
            </w:tcMar>
            <w:hideMark/>
          </w:tcPr>
          <w:p w14:paraId="7027C55D" w14:textId="77777777" w:rsidR="008D7606" w:rsidRPr="008D7606" w:rsidRDefault="008D7606" w:rsidP="008D7606">
            <w:pPr>
              <w:spacing w:after="0" w:line="240" w:lineRule="auto"/>
              <w:jc w:val="both"/>
              <w:rPr>
                <w:rFonts w:ascii="Segoe UI" w:eastAsia="Times New Roman" w:hAnsi="Segoe UI" w:cs="Segoe UI"/>
                <w:sz w:val="21"/>
                <w:szCs w:val="21"/>
                <w:lang w:eastAsia="es-CO"/>
              </w:rPr>
            </w:pPr>
            <w:r w:rsidRPr="008D7606">
              <w:rPr>
                <w:rFonts w:ascii="Segoe UI" w:eastAsia="Times New Roman" w:hAnsi="Segoe UI" w:cs="Segoe UI"/>
                <w:sz w:val="21"/>
                <w:szCs w:val="21"/>
                <w:lang w:eastAsia="es-CO"/>
              </w:rPr>
              <w:t>Impuesto sobre la renta y complementarios</w:t>
            </w:r>
          </w:p>
        </w:tc>
      </w:tr>
      <w:tr w:rsidR="008D7606" w:rsidRPr="008D7606" w14:paraId="07A99B17" w14:textId="77777777" w:rsidTr="008D7606">
        <w:tc>
          <w:tcPr>
            <w:tcW w:w="2270" w:type="dxa"/>
            <w:tcBorders>
              <w:top w:val="nil"/>
              <w:left w:val="nil"/>
              <w:bottom w:val="nil"/>
              <w:right w:val="nil"/>
            </w:tcBorders>
            <w:tcMar>
              <w:top w:w="0" w:type="dxa"/>
              <w:left w:w="105" w:type="dxa"/>
              <w:bottom w:w="0" w:type="dxa"/>
              <w:right w:w="105" w:type="dxa"/>
            </w:tcMar>
            <w:hideMark/>
          </w:tcPr>
          <w:p w14:paraId="592BE6B9" w14:textId="77777777" w:rsidR="008D7606" w:rsidRPr="008D7606" w:rsidRDefault="008D7606" w:rsidP="008D7606">
            <w:pPr>
              <w:spacing w:after="0" w:line="240" w:lineRule="auto"/>
              <w:jc w:val="both"/>
              <w:rPr>
                <w:rFonts w:ascii="Segoe UI" w:eastAsia="Times New Roman" w:hAnsi="Segoe UI" w:cs="Segoe UI"/>
                <w:sz w:val="21"/>
                <w:szCs w:val="21"/>
                <w:lang w:eastAsia="es-CO"/>
              </w:rPr>
            </w:pPr>
            <w:r w:rsidRPr="008D7606">
              <w:rPr>
                <w:rFonts w:ascii="Segoe UI" w:eastAsia="Times New Roman" w:hAnsi="Segoe UI" w:cs="Segoe UI"/>
                <w:b/>
                <w:bCs/>
                <w:sz w:val="21"/>
                <w:szCs w:val="21"/>
                <w:lang w:eastAsia="es-CO"/>
              </w:rPr>
              <w:t>Descriptores:</w:t>
            </w:r>
          </w:p>
        </w:tc>
        <w:tc>
          <w:tcPr>
            <w:tcW w:w="6633" w:type="dxa"/>
            <w:tcBorders>
              <w:top w:val="nil"/>
              <w:left w:val="nil"/>
              <w:bottom w:val="nil"/>
              <w:right w:val="nil"/>
            </w:tcBorders>
            <w:tcMar>
              <w:top w:w="0" w:type="dxa"/>
              <w:left w:w="105" w:type="dxa"/>
              <w:bottom w:w="0" w:type="dxa"/>
              <w:right w:w="105" w:type="dxa"/>
            </w:tcMar>
            <w:hideMark/>
          </w:tcPr>
          <w:p w14:paraId="043F338F" w14:textId="77777777" w:rsidR="008D7606" w:rsidRPr="008D7606" w:rsidRDefault="008D7606" w:rsidP="008D7606">
            <w:pPr>
              <w:spacing w:after="0" w:line="240" w:lineRule="auto"/>
              <w:jc w:val="both"/>
              <w:rPr>
                <w:rFonts w:ascii="Segoe UI" w:eastAsia="Times New Roman" w:hAnsi="Segoe UI" w:cs="Segoe UI"/>
                <w:sz w:val="21"/>
                <w:szCs w:val="21"/>
                <w:lang w:eastAsia="es-CO"/>
              </w:rPr>
            </w:pPr>
            <w:r w:rsidRPr="008D7606">
              <w:rPr>
                <w:rFonts w:ascii="Segoe UI" w:eastAsia="Times New Roman" w:hAnsi="Segoe UI" w:cs="Segoe UI"/>
                <w:sz w:val="21"/>
                <w:szCs w:val="21"/>
                <w:lang w:eastAsia="es-CO"/>
              </w:rPr>
              <w:t>Ingresos de fuente nacional</w:t>
            </w:r>
          </w:p>
        </w:tc>
      </w:tr>
      <w:tr w:rsidR="008D7606" w:rsidRPr="008D7606" w14:paraId="2AD9E9A3" w14:textId="77777777" w:rsidTr="008D7606">
        <w:tc>
          <w:tcPr>
            <w:tcW w:w="2270" w:type="dxa"/>
            <w:tcBorders>
              <w:top w:val="nil"/>
              <w:left w:val="nil"/>
              <w:bottom w:val="nil"/>
              <w:right w:val="nil"/>
            </w:tcBorders>
            <w:tcMar>
              <w:top w:w="0" w:type="dxa"/>
              <w:left w:w="105" w:type="dxa"/>
              <w:bottom w:w="0" w:type="dxa"/>
              <w:right w:w="105" w:type="dxa"/>
            </w:tcMar>
            <w:hideMark/>
          </w:tcPr>
          <w:p w14:paraId="10AF864B" w14:textId="77777777" w:rsidR="008D7606" w:rsidRPr="008D7606" w:rsidRDefault="008D7606" w:rsidP="008D7606">
            <w:pPr>
              <w:spacing w:after="0" w:line="240" w:lineRule="auto"/>
              <w:jc w:val="both"/>
              <w:rPr>
                <w:rFonts w:ascii="Segoe UI" w:eastAsia="Times New Roman" w:hAnsi="Segoe UI" w:cs="Segoe UI"/>
                <w:sz w:val="21"/>
                <w:szCs w:val="21"/>
                <w:lang w:eastAsia="es-CO"/>
              </w:rPr>
            </w:pPr>
            <w:r w:rsidRPr="008D7606">
              <w:rPr>
                <w:rFonts w:ascii="Segoe UI" w:eastAsia="Times New Roman" w:hAnsi="Segoe UI" w:cs="Segoe UI"/>
                <w:b/>
                <w:bCs/>
                <w:sz w:val="21"/>
                <w:szCs w:val="21"/>
                <w:lang w:eastAsia="es-CO"/>
              </w:rPr>
              <w:t>Fuentes formales:</w:t>
            </w:r>
          </w:p>
        </w:tc>
        <w:tc>
          <w:tcPr>
            <w:tcW w:w="6633" w:type="dxa"/>
            <w:tcBorders>
              <w:top w:val="nil"/>
              <w:left w:val="nil"/>
              <w:bottom w:val="nil"/>
              <w:right w:val="nil"/>
            </w:tcBorders>
            <w:tcMar>
              <w:top w:w="0" w:type="dxa"/>
              <w:left w:w="105" w:type="dxa"/>
              <w:bottom w:w="0" w:type="dxa"/>
              <w:right w:w="105" w:type="dxa"/>
            </w:tcMar>
            <w:hideMark/>
          </w:tcPr>
          <w:p w14:paraId="38BFA2EB" w14:textId="77777777" w:rsidR="008D7606" w:rsidRPr="008D7606" w:rsidRDefault="008D7606" w:rsidP="008D7606">
            <w:pPr>
              <w:spacing w:after="0" w:line="240" w:lineRule="auto"/>
              <w:jc w:val="both"/>
              <w:rPr>
                <w:rFonts w:ascii="Segoe UI" w:eastAsia="Times New Roman" w:hAnsi="Segoe UI" w:cs="Segoe UI"/>
                <w:sz w:val="21"/>
                <w:szCs w:val="21"/>
                <w:lang w:eastAsia="es-CO"/>
              </w:rPr>
            </w:pPr>
            <w:r w:rsidRPr="008D7606">
              <w:rPr>
                <w:rFonts w:ascii="Segoe UI" w:eastAsia="Times New Roman" w:hAnsi="Segoe UI" w:cs="Segoe UI"/>
                <w:sz w:val="21"/>
                <w:szCs w:val="21"/>
                <w:lang w:eastAsia="es-CO"/>
              </w:rPr>
              <w:t>Artículo 13 del Convenio entre el Reino de España y la República de Colombia para evitar la doble imposición y prevenir la evasión fiscal en materia de impuestos sobre la renta y sobre el patrimonio</w:t>
            </w:r>
          </w:p>
        </w:tc>
      </w:tr>
    </w:tbl>
    <w:p w14:paraId="04E4EB02"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5D186891"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0C706F66"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Cordial saludo,</w:t>
      </w:r>
    </w:p>
    <w:p w14:paraId="506E6509"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3626E0F6"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0C911D47"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361CF374"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Mediante el radicado de la referencia, el peticionario solicita se dé respuesta las siguientes inquietudes:</w:t>
      </w:r>
    </w:p>
    <w:p w14:paraId="0FB467A2"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16F87810"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r w:rsidRPr="008D7606">
        <w:rPr>
          <w:rFonts w:ascii="Segoe UI" w:eastAsia="Times New Roman" w:hAnsi="Segoe UI" w:cs="Segoe UI"/>
          <w:i/>
          <w:iCs/>
          <w:color w:val="000000"/>
          <w:sz w:val="21"/>
          <w:szCs w:val="21"/>
          <w:lang w:eastAsia="es-CO"/>
        </w:rPr>
        <w:t>“i. ¿</w:t>
      </w:r>
      <w:r w:rsidRPr="008D7606">
        <w:rPr>
          <w:rFonts w:ascii="Segoe UI" w:eastAsia="Times New Roman" w:hAnsi="Segoe UI" w:cs="Segoe UI"/>
          <w:i/>
          <w:iCs/>
          <w:color w:val="000000"/>
          <w:sz w:val="21"/>
          <w:szCs w:val="21"/>
          <w:u w:val="single"/>
          <w:lang w:eastAsia="es-CO"/>
        </w:rPr>
        <w:t>La donación de acciones de una sociedad comercial poseídas por un residente fiscal en Colombia</w:t>
      </w:r>
      <w:r w:rsidRPr="008D7606">
        <w:rPr>
          <w:rFonts w:ascii="Segoe UI" w:eastAsia="Times New Roman" w:hAnsi="Segoe UI" w:cs="Segoe UI"/>
          <w:i/>
          <w:iCs/>
          <w:color w:val="000000"/>
          <w:sz w:val="21"/>
          <w:szCs w:val="21"/>
          <w:lang w:eastAsia="es-CO"/>
        </w:rPr>
        <w:t> a favor de una persona natural residente en España se considera </w:t>
      </w:r>
      <w:r w:rsidRPr="008D7606">
        <w:rPr>
          <w:rFonts w:ascii="Segoe UI" w:eastAsia="Times New Roman" w:hAnsi="Segoe UI" w:cs="Segoe UI"/>
          <w:i/>
          <w:iCs/>
          <w:color w:val="000000"/>
          <w:sz w:val="21"/>
          <w:szCs w:val="21"/>
          <w:u w:val="single"/>
          <w:lang w:eastAsia="es-CO"/>
        </w:rPr>
        <w:t>una ganancia ocasional de fuente nacional</w:t>
      </w:r>
      <w:r w:rsidRPr="008D7606">
        <w:rPr>
          <w:rFonts w:ascii="Segoe UI" w:eastAsia="Times New Roman" w:hAnsi="Segoe UI" w:cs="Segoe UI"/>
          <w:i/>
          <w:iCs/>
          <w:color w:val="000000"/>
          <w:sz w:val="21"/>
          <w:szCs w:val="21"/>
          <w:lang w:eastAsia="es-CO"/>
        </w:rPr>
        <w:t>? En ese mismo sentido, ¿</w:t>
      </w:r>
      <w:r w:rsidRPr="008D7606">
        <w:rPr>
          <w:rFonts w:ascii="Segoe UI" w:eastAsia="Times New Roman" w:hAnsi="Segoe UI" w:cs="Segoe UI"/>
          <w:i/>
          <w:iCs/>
          <w:color w:val="000000"/>
          <w:sz w:val="21"/>
          <w:szCs w:val="21"/>
          <w:u w:val="single"/>
          <w:lang w:eastAsia="es-CO"/>
        </w:rPr>
        <w:t>el legado</w:t>
      </w:r>
      <w:r w:rsidRPr="008D7606">
        <w:rPr>
          <w:rFonts w:ascii="Segoe UI" w:eastAsia="Times New Roman" w:hAnsi="Segoe UI" w:cs="Segoe UI"/>
          <w:i/>
          <w:iCs/>
          <w:color w:val="000000"/>
          <w:sz w:val="21"/>
          <w:szCs w:val="21"/>
          <w:lang w:eastAsia="es-CO"/>
        </w:rPr>
        <w:t> de acciones de una sociedad comercial </w:t>
      </w:r>
      <w:r w:rsidRPr="008D7606">
        <w:rPr>
          <w:rFonts w:ascii="Segoe UI" w:eastAsia="Times New Roman" w:hAnsi="Segoe UI" w:cs="Segoe UI"/>
          <w:i/>
          <w:iCs/>
          <w:color w:val="000000"/>
          <w:sz w:val="21"/>
          <w:szCs w:val="21"/>
          <w:u w:val="single"/>
          <w:lang w:eastAsia="es-CO"/>
        </w:rPr>
        <w:t>poseídas por un causante residente en Colombia</w:t>
      </w:r>
      <w:r w:rsidRPr="008D7606">
        <w:rPr>
          <w:rFonts w:ascii="Segoe UI" w:eastAsia="Times New Roman" w:hAnsi="Segoe UI" w:cs="Segoe UI"/>
          <w:i/>
          <w:iCs/>
          <w:color w:val="000000"/>
          <w:sz w:val="21"/>
          <w:szCs w:val="21"/>
          <w:lang w:eastAsia="es-CO"/>
        </w:rPr>
        <w:t> al momento de su muerte a favor de una persona natural residente en España se considera una ganancia ocasional de fuente nacional?</w:t>
      </w:r>
    </w:p>
    <w:p w14:paraId="5522B8DB"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301A887E"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proofErr w:type="spellStart"/>
      <w:r w:rsidRPr="008D7606">
        <w:rPr>
          <w:rFonts w:ascii="Segoe UI" w:eastAsia="Times New Roman" w:hAnsi="Segoe UI" w:cs="Segoe UI"/>
          <w:i/>
          <w:iCs/>
          <w:color w:val="000000"/>
          <w:sz w:val="21"/>
          <w:szCs w:val="21"/>
          <w:lang w:eastAsia="es-CO"/>
        </w:rPr>
        <w:t>ii</w:t>
      </w:r>
      <w:proofErr w:type="spellEnd"/>
      <w:r w:rsidRPr="008D7606">
        <w:rPr>
          <w:rFonts w:ascii="Segoe UI" w:eastAsia="Times New Roman" w:hAnsi="Segoe UI" w:cs="Segoe UI"/>
          <w:i/>
          <w:iCs/>
          <w:color w:val="000000"/>
          <w:sz w:val="21"/>
          <w:szCs w:val="21"/>
          <w:lang w:eastAsia="es-CO"/>
        </w:rPr>
        <w:t>. De ser afirmativa la respuesta a la pregunta i. ¿la donación o el legado de acciones de una sociedad comercial realizada por un residente fiscal en Colombia a favor de una persona natural residente en España, </w:t>
      </w:r>
      <w:r w:rsidRPr="008D7606">
        <w:rPr>
          <w:rFonts w:ascii="Segoe UI" w:eastAsia="Times New Roman" w:hAnsi="Segoe UI" w:cs="Segoe UI"/>
          <w:i/>
          <w:iCs/>
          <w:color w:val="000000"/>
          <w:sz w:val="21"/>
          <w:szCs w:val="21"/>
          <w:u w:val="single"/>
          <w:lang w:eastAsia="es-CO"/>
        </w:rPr>
        <w:t>cuyo valor NO se deriva directa o indirectamente en más de un 50 por 100 de bienes inmuebles situados en Colombia, </w:t>
      </w:r>
      <w:r w:rsidRPr="008D7606">
        <w:rPr>
          <w:rFonts w:ascii="Segoe UI" w:eastAsia="Times New Roman" w:hAnsi="Segoe UI" w:cs="Segoe UI"/>
          <w:i/>
          <w:iCs/>
          <w:color w:val="000000"/>
          <w:sz w:val="21"/>
          <w:szCs w:val="21"/>
          <w:lang w:eastAsia="es-CO"/>
        </w:rPr>
        <w:t>está sometida al tratamiento tributario indicado en el numeral 4. del artículo 13 del C.D.I. vigente entre estos dos Estados?</w:t>
      </w:r>
    </w:p>
    <w:p w14:paraId="04F328F0"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7F762685"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proofErr w:type="spellStart"/>
      <w:r w:rsidRPr="008D7606">
        <w:rPr>
          <w:rFonts w:ascii="Segoe UI" w:eastAsia="Times New Roman" w:hAnsi="Segoe UI" w:cs="Segoe UI"/>
          <w:i/>
          <w:iCs/>
          <w:color w:val="000000"/>
          <w:sz w:val="21"/>
          <w:szCs w:val="21"/>
          <w:lang w:eastAsia="es-CO"/>
        </w:rPr>
        <w:t>iii</w:t>
      </w:r>
      <w:proofErr w:type="spellEnd"/>
      <w:r w:rsidRPr="008D7606">
        <w:rPr>
          <w:rFonts w:ascii="Segoe UI" w:eastAsia="Times New Roman" w:hAnsi="Segoe UI" w:cs="Segoe UI"/>
          <w:i/>
          <w:iCs/>
          <w:color w:val="000000"/>
          <w:sz w:val="21"/>
          <w:szCs w:val="21"/>
          <w:lang w:eastAsia="es-CO"/>
        </w:rPr>
        <w:t xml:space="preserve">. De ser afirmativa la respuesta a la pregunta </w:t>
      </w:r>
      <w:proofErr w:type="spellStart"/>
      <w:r w:rsidRPr="008D7606">
        <w:rPr>
          <w:rFonts w:ascii="Segoe UI" w:eastAsia="Times New Roman" w:hAnsi="Segoe UI" w:cs="Segoe UI"/>
          <w:i/>
          <w:iCs/>
          <w:color w:val="000000"/>
          <w:sz w:val="21"/>
          <w:szCs w:val="21"/>
          <w:lang w:eastAsia="es-CO"/>
        </w:rPr>
        <w:t>ii</w:t>
      </w:r>
      <w:proofErr w:type="spellEnd"/>
      <w:r w:rsidRPr="008D7606">
        <w:rPr>
          <w:rFonts w:ascii="Segoe UI" w:eastAsia="Times New Roman" w:hAnsi="Segoe UI" w:cs="Segoe UI"/>
          <w:i/>
          <w:iCs/>
          <w:color w:val="000000"/>
          <w:sz w:val="21"/>
          <w:szCs w:val="21"/>
          <w:lang w:eastAsia="es-CO"/>
        </w:rPr>
        <w:t>. ¿la ganancia ocasional derivada de la donación o del legado de acciones entre un residente fiscal en Colombia a favor de una persona natural residente en España </w:t>
      </w:r>
      <w:r w:rsidRPr="008D7606">
        <w:rPr>
          <w:rFonts w:ascii="Segoe UI" w:eastAsia="Times New Roman" w:hAnsi="Segoe UI" w:cs="Segoe UI"/>
          <w:i/>
          <w:iCs/>
          <w:color w:val="000000"/>
          <w:sz w:val="21"/>
          <w:szCs w:val="21"/>
          <w:u w:val="single"/>
          <w:lang w:eastAsia="es-CO"/>
        </w:rPr>
        <w:t>se considera una ganancia ocasional no gravada en Colombia</w:t>
      </w:r>
      <w:r w:rsidRPr="008D7606">
        <w:rPr>
          <w:rFonts w:ascii="Segoe UI" w:eastAsia="Times New Roman" w:hAnsi="Segoe UI" w:cs="Segoe UI"/>
          <w:i/>
          <w:iCs/>
          <w:color w:val="000000"/>
          <w:sz w:val="21"/>
          <w:szCs w:val="21"/>
          <w:lang w:eastAsia="es-CO"/>
        </w:rPr>
        <w:t>?</w:t>
      </w:r>
    </w:p>
    <w:p w14:paraId="72B0CA61"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0350D411"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proofErr w:type="spellStart"/>
      <w:r w:rsidRPr="008D7606">
        <w:rPr>
          <w:rFonts w:ascii="Segoe UI" w:eastAsia="Times New Roman" w:hAnsi="Segoe UI" w:cs="Segoe UI"/>
          <w:i/>
          <w:iCs/>
          <w:color w:val="000000"/>
          <w:sz w:val="21"/>
          <w:szCs w:val="21"/>
          <w:lang w:eastAsia="es-CO"/>
        </w:rPr>
        <w:t>iv</w:t>
      </w:r>
      <w:proofErr w:type="spellEnd"/>
      <w:r w:rsidRPr="008D7606">
        <w:rPr>
          <w:rFonts w:ascii="Segoe UI" w:eastAsia="Times New Roman" w:hAnsi="Segoe UI" w:cs="Segoe UI"/>
          <w:i/>
          <w:iCs/>
          <w:color w:val="000000"/>
          <w:sz w:val="21"/>
          <w:szCs w:val="21"/>
          <w:lang w:eastAsia="es-CO"/>
        </w:rPr>
        <w:t xml:space="preserve">. De ser negativa la respuesta a la pregunta </w:t>
      </w:r>
      <w:proofErr w:type="spellStart"/>
      <w:r w:rsidRPr="008D7606">
        <w:rPr>
          <w:rFonts w:ascii="Segoe UI" w:eastAsia="Times New Roman" w:hAnsi="Segoe UI" w:cs="Segoe UI"/>
          <w:i/>
          <w:iCs/>
          <w:color w:val="000000"/>
          <w:sz w:val="21"/>
          <w:szCs w:val="21"/>
          <w:lang w:eastAsia="es-CO"/>
        </w:rPr>
        <w:t>ii</w:t>
      </w:r>
      <w:proofErr w:type="spellEnd"/>
      <w:r w:rsidRPr="008D7606">
        <w:rPr>
          <w:rFonts w:ascii="Segoe UI" w:eastAsia="Times New Roman" w:hAnsi="Segoe UI" w:cs="Segoe UI"/>
          <w:i/>
          <w:iCs/>
          <w:color w:val="000000"/>
          <w:sz w:val="21"/>
          <w:szCs w:val="21"/>
          <w:lang w:eastAsia="es-CO"/>
        </w:rPr>
        <w:t>. ¿cuál es </w:t>
      </w:r>
      <w:r w:rsidRPr="008D7606">
        <w:rPr>
          <w:rFonts w:ascii="Segoe UI" w:eastAsia="Times New Roman" w:hAnsi="Segoe UI" w:cs="Segoe UI"/>
          <w:i/>
          <w:iCs/>
          <w:color w:val="000000"/>
          <w:sz w:val="21"/>
          <w:szCs w:val="21"/>
          <w:u w:val="single"/>
          <w:lang w:eastAsia="es-CO"/>
        </w:rPr>
        <w:t>el tratamiento tributario </w:t>
      </w:r>
      <w:r w:rsidRPr="008D7606">
        <w:rPr>
          <w:rFonts w:ascii="Segoe UI" w:eastAsia="Times New Roman" w:hAnsi="Segoe UI" w:cs="Segoe UI"/>
          <w:i/>
          <w:iCs/>
          <w:color w:val="000000"/>
          <w:sz w:val="21"/>
          <w:szCs w:val="21"/>
          <w:lang w:eastAsia="es-CO"/>
        </w:rPr>
        <w:t>para la ganancia ocasional derivada de la donación o del legado de acciones entre un residente fiscal en Colombia a favor de una persona natural residente en España?</w:t>
      </w:r>
    </w:p>
    <w:p w14:paraId="4EE44826"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r w:rsidRPr="008D7606">
        <w:rPr>
          <w:rFonts w:ascii="Segoe UI" w:eastAsia="Times New Roman" w:hAnsi="Segoe UI" w:cs="Segoe UI"/>
          <w:i/>
          <w:iCs/>
          <w:color w:val="000000"/>
          <w:sz w:val="21"/>
          <w:szCs w:val="21"/>
          <w:lang w:eastAsia="es-CO"/>
        </w:rPr>
        <w:t>(...)</w:t>
      </w:r>
    </w:p>
    <w:p w14:paraId="26B0A796"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6219DE70"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r w:rsidRPr="008D7606">
        <w:rPr>
          <w:rFonts w:ascii="Segoe UI" w:eastAsia="Times New Roman" w:hAnsi="Segoe UI" w:cs="Segoe UI"/>
          <w:i/>
          <w:iCs/>
          <w:color w:val="000000"/>
          <w:sz w:val="21"/>
          <w:szCs w:val="21"/>
          <w:lang w:eastAsia="es-CO"/>
        </w:rPr>
        <w:t>(...) ¿la donación o el legado de acciones de una sociedad comercial realizada por un residente fiscal en Colombia a favor de una persona natural residente en España, </w:t>
      </w:r>
      <w:r w:rsidRPr="008D7606">
        <w:rPr>
          <w:rFonts w:ascii="Segoe UI" w:eastAsia="Times New Roman" w:hAnsi="Segoe UI" w:cs="Segoe UI"/>
          <w:i/>
          <w:iCs/>
          <w:color w:val="000000"/>
          <w:sz w:val="21"/>
          <w:szCs w:val="21"/>
          <w:u w:val="single"/>
          <w:lang w:eastAsia="es-CO"/>
        </w:rPr>
        <w:t>configura una operación de inversión extranjera susceptible de generar la obligación de realizar registros cambiarios</w:t>
      </w:r>
      <w:r w:rsidRPr="008D7606">
        <w:rPr>
          <w:rFonts w:ascii="Segoe UI" w:eastAsia="Times New Roman" w:hAnsi="Segoe UI" w:cs="Segoe UI"/>
          <w:i/>
          <w:iCs/>
          <w:color w:val="000000"/>
          <w:sz w:val="21"/>
          <w:szCs w:val="21"/>
          <w:lang w:eastAsia="es-CO"/>
        </w:rPr>
        <w:t>?”</w:t>
      </w:r>
      <w:r w:rsidRPr="008D7606">
        <w:rPr>
          <w:rFonts w:ascii="Segoe UI" w:eastAsia="Times New Roman" w:hAnsi="Segoe UI" w:cs="Segoe UI"/>
          <w:color w:val="000000"/>
          <w:sz w:val="21"/>
          <w:szCs w:val="21"/>
          <w:lang w:eastAsia="es-CO"/>
        </w:rPr>
        <w:t> (subrayado fuera de texto)</w:t>
      </w:r>
    </w:p>
    <w:p w14:paraId="15774A54"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1C6B319D"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En primera medida, es de reiterar que este Despacho no es competente para resolver situaciones particulares.</w:t>
      </w:r>
    </w:p>
    <w:p w14:paraId="575B173F"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5C97A31A"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lastRenderedPageBreak/>
        <w:t>Asimismo, se pone de presente que casos como el planteado se deberán analizar a la luz de las disposiciones del “Convenio entre el Reino de España y la República de Colombia para evitar la doble imposición y prevenir la evasión fiscal en materia de impuestos sobre la renta y sobre el patrimonio” (en adelante el CDI), aprobado mediante la Ley 1082 de 2006, para determinar -según sus circunstancias específicas- la calificación de los ingresos y consecuentemente su tratamiento tributario aplicable.</w:t>
      </w:r>
    </w:p>
    <w:p w14:paraId="405906C5"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326583BE"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Precisado lo antepuesto, es menester examinar el artículo 13 del CDI, el cual establece:</w:t>
      </w:r>
    </w:p>
    <w:p w14:paraId="7B7BD122"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5812FFA2"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r w:rsidRPr="008D7606">
        <w:rPr>
          <w:rFonts w:ascii="Segoe UI" w:eastAsia="Times New Roman" w:hAnsi="Segoe UI" w:cs="Segoe UI"/>
          <w:i/>
          <w:iCs/>
          <w:color w:val="000000"/>
          <w:sz w:val="21"/>
          <w:szCs w:val="21"/>
          <w:lang w:eastAsia="es-CO"/>
        </w:rPr>
        <w:t>“(…)</w:t>
      </w:r>
    </w:p>
    <w:p w14:paraId="6BE5D479"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6B151200"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r w:rsidRPr="008D7606">
        <w:rPr>
          <w:rFonts w:ascii="Segoe UI" w:eastAsia="Times New Roman" w:hAnsi="Segoe UI" w:cs="Segoe UI"/>
          <w:i/>
          <w:iCs/>
          <w:color w:val="000000"/>
          <w:sz w:val="21"/>
          <w:szCs w:val="21"/>
          <w:lang w:eastAsia="es-CO"/>
        </w:rPr>
        <w:t>4. Las ganancias que un residente de un Estado contratante obtenga de </w:t>
      </w:r>
      <w:r w:rsidRPr="008D7606">
        <w:rPr>
          <w:rFonts w:ascii="Segoe UI" w:eastAsia="Times New Roman" w:hAnsi="Segoe UI" w:cs="Segoe UI"/>
          <w:i/>
          <w:iCs/>
          <w:color w:val="000000"/>
          <w:sz w:val="21"/>
          <w:szCs w:val="21"/>
          <w:u w:val="single"/>
          <w:lang w:eastAsia="es-CO"/>
        </w:rPr>
        <w:t>la enajenación</w:t>
      </w:r>
      <w:r w:rsidRPr="008D7606">
        <w:rPr>
          <w:rFonts w:ascii="Segoe UI" w:eastAsia="Times New Roman" w:hAnsi="Segoe UI" w:cs="Segoe UI"/>
          <w:i/>
          <w:iCs/>
          <w:color w:val="000000"/>
          <w:sz w:val="21"/>
          <w:szCs w:val="21"/>
          <w:lang w:eastAsia="es-CO"/>
        </w:rPr>
        <w:t> de acciones o de otros derechos de participación </w:t>
      </w:r>
      <w:r w:rsidRPr="008D7606">
        <w:rPr>
          <w:rFonts w:ascii="Segoe UI" w:eastAsia="Times New Roman" w:hAnsi="Segoe UI" w:cs="Segoe UI"/>
          <w:i/>
          <w:iCs/>
          <w:color w:val="000000"/>
          <w:sz w:val="21"/>
          <w:szCs w:val="21"/>
          <w:u w:val="single"/>
          <w:lang w:eastAsia="es-CO"/>
        </w:rPr>
        <w:t>cuyo valor se derive directa o indirectamente en más de un 50% de bienes inmuebles situados en el otro Estado contratante, pueden someterse a imposición en ese otro Estado</w:t>
      </w:r>
      <w:r w:rsidRPr="008D7606">
        <w:rPr>
          <w:rFonts w:ascii="Segoe UI" w:eastAsia="Times New Roman" w:hAnsi="Segoe UI" w:cs="Segoe UI"/>
          <w:i/>
          <w:iCs/>
          <w:color w:val="000000"/>
          <w:sz w:val="21"/>
          <w:szCs w:val="21"/>
          <w:lang w:eastAsia="es-CO"/>
        </w:rPr>
        <w:t>.</w:t>
      </w:r>
    </w:p>
    <w:p w14:paraId="22608782"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6C3B434A"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r w:rsidRPr="008D7606">
        <w:rPr>
          <w:rFonts w:ascii="Segoe UI" w:eastAsia="Times New Roman" w:hAnsi="Segoe UI" w:cs="Segoe UI"/>
          <w:i/>
          <w:iCs/>
          <w:color w:val="000000"/>
          <w:sz w:val="21"/>
          <w:szCs w:val="21"/>
          <w:lang w:eastAsia="es-CO"/>
        </w:rPr>
        <w:t>5. Las ganancias derivadas de </w:t>
      </w:r>
      <w:r w:rsidRPr="008D7606">
        <w:rPr>
          <w:rFonts w:ascii="Segoe UI" w:eastAsia="Times New Roman" w:hAnsi="Segoe UI" w:cs="Segoe UI"/>
          <w:i/>
          <w:iCs/>
          <w:color w:val="000000"/>
          <w:sz w:val="21"/>
          <w:szCs w:val="21"/>
          <w:u w:val="single"/>
          <w:lang w:eastAsia="es-CO"/>
        </w:rPr>
        <w:t>la enajenación</w:t>
      </w:r>
      <w:r w:rsidRPr="008D7606">
        <w:rPr>
          <w:rFonts w:ascii="Segoe UI" w:eastAsia="Times New Roman" w:hAnsi="Segoe UI" w:cs="Segoe UI"/>
          <w:i/>
          <w:iCs/>
          <w:color w:val="000000"/>
          <w:sz w:val="21"/>
          <w:szCs w:val="21"/>
          <w:lang w:eastAsia="es-CO"/>
        </w:rPr>
        <w:t> de cualquier otro bien distinto de los mencionados en los apartados 1, 2, 3 y 4 </w:t>
      </w:r>
      <w:r w:rsidRPr="008D7606">
        <w:rPr>
          <w:rFonts w:ascii="Segoe UI" w:eastAsia="Times New Roman" w:hAnsi="Segoe UI" w:cs="Segoe UI"/>
          <w:i/>
          <w:iCs/>
          <w:color w:val="000000"/>
          <w:sz w:val="21"/>
          <w:szCs w:val="21"/>
          <w:u w:val="single"/>
          <w:lang w:eastAsia="es-CO"/>
        </w:rPr>
        <w:t>sólo pueden someterse a imposición en el Estado contratante en que resida el transmitente</w:t>
      </w:r>
      <w:r w:rsidRPr="008D7606">
        <w:rPr>
          <w:rFonts w:ascii="Segoe UI" w:eastAsia="Times New Roman" w:hAnsi="Segoe UI" w:cs="Segoe UI"/>
          <w:i/>
          <w:iCs/>
          <w:color w:val="000000"/>
          <w:sz w:val="21"/>
          <w:szCs w:val="21"/>
          <w:lang w:eastAsia="es-CO"/>
        </w:rPr>
        <w:t>.”</w:t>
      </w:r>
      <w:r w:rsidRPr="008D7606">
        <w:rPr>
          <w:rFonts w:ascii="Segoe UI" w:eastAsia="Times New Roman" w:hAnsi="Segoe UI" w:cs="Segoe UI"/>
          <w:color w:val="000000"/>
          <w:sz w:val="21"/>
          <w:szCs w:val="21"/>
          <w:lang w:eastAsia="es-CO"/>
        </w:rPr>
        <w:t> (subrayado fuera de texto)</w:t>
      </w:r>
    </w:p>
    <w:p w14:paraId="38916F82"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3E6FB15B"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Es importante señalar que la norma citada (i.e. artículo 13 del CDI) sigue el Modelo de Convenio para evitar la Doble Imposición diseñado por la Organización para la Cooperación y el Desarrollo Económicos - OCDE.</w:t>
      </w:r>
    </w:p>
    <w:p w14:paraId="5DF3D5CF"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6E5E59A9"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Así, cabe resaltar que la OCDE se ha pronunciado respecto del alcance de la expresión “enajenación de bienes”, contenida en el reseñado artículo 13, en los comentarios al Modelo de Convenio Tributario sobre la Renta y sobre el Patrimonio (MOCDE 2017) al indicar:</w:t>
      </w:r>
    </w:p>
    <w:p w14:paraId="34A2A514"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5EA3AD55" w14:textId="77777777" w:rsidR="008D7606" w:rsidRPr="008D7606" w:rsidRDefault="008D7606" w:rsidP="008D7606">
      <w:pPr>
        <w:spacing w:after="0" w:line="240" w:lineRule="auto"/>
        <w:ind w:left="284"/>
        <w:jc w:val="both"/>
        <w:rPr>
          <w:rFonts w:ascii="Segoe UI" w:eastAsia="Times New Roman" w:hAnsi="Segoe UI" w:cs="Segoe UI"/>
          <w:color w:val="000000"/>
          <w:sz w:val="21"/>
          <w:szCs w:val="21"/>
          <w:lang w:eastAsia="es-CO"/>
        </w:rPr>
      </w:pPr>
      <w:r w:rsidRPr="008D7606">
        <w:rPr>
          <w:rFonts w:ascii="Segoe UI" w:eastAsia="Times New Roman" w:hAnsi="Segoe UI" w:cs="Segoe UI"/>
          <w:i/>
          <w:iCs/>
          <w:color w:val="000000"/>
          <w:sz w:val="21"/>
          <w:szCs w:val="21"/>
          <w:lang w:eastAsia="es-CO"/>
        </w:rPr>
        <w:t>5. El artículo no contiene una definición detallada de las ganancias de capital (...) Los términos “enajenación de bienes” se utilizan para incluir en concreto las ganancias de capital resultantes de la venta o la permuta de bienes, y también de una enajenación parcial, de la expropiación, de las aportaciones a sociedades a cambio de valores, de la venta de derechos, de </w:t>
      </w:r>
      <w:r w:rsidRPr="008D7606">
        <w:rPr>
          <w:rFonts w:ascii="Segoe UI" w:eastAsia="Times New Roman" w:hAnsi="Segoe UI" w:cs="Segoe UI"/>
          <w:i/>
          <w:iCs/>
          <w:color w:val="000000"/>
          <w:sz w:val="21"/>
          <w:szCs w:val="21"/>
          <w:u w:val="single"/>
          <w:lang w:eastAsia="es-CO"/>
        </w:rPr>
        <w:t>la donación</w:t>
      </w:r>
      <w:r w:rsidRPr="008D7606">
        <w:rPr>
          <w:rFonts w:ascii="Segoe UI" w:eastAsia="Times New Roman" w:hAnsi="Segoe UI" w:cs="Segoe UI"/>
          <w:i/>
          <w:iCs/>
          <w:color w:val="000000"/>
          <w:sz w:val="21"/>
          <w:szCs w:val="21"/>
          <w:lang w:eastAsia="es-CO"/>
        </w:rPr>
        <w:t> e incluso de </w:t>
      </w:r>
      <w:r w:rsidRPr="008D7606">
        <w:rPr>
          <w:rFonts w:ascii="Segoe UI" w:eastAsia="Times New Roman" w:hAnsi="Segoe UI" w:cs="Segoe UI"/>
          <w:i/>
          <w:iCs/>
          <w:color w:val="000000"/>
          <w:sz w:val="21"/>
          <w:szCs w:val="21"/>
          <w:u w:val="single"/>
          <w:lang w:eastAsia="es-CO"/>
        </w:rPr>
        <w:t>la transmisión mortis causa</w:t>
      </w:r>
      <w:r w:rsidRPr="008D7606">
        <w:rPr>
          <w:rFonts w:ascii="Segoe UI" w:eastAsia="Times New Roman" w:hAnsi="Segoe UI" w:cs="Segoe UI"/>
          <w:i/>
          <w:iCs/>
          <w:color w:val="000000"/>
          <w:sz w:val="21"/>
          <w:szCs w:val="21"/>
          <w:lang w:eastAsia="es-CO"/>
        </w:rPr>
        <w:t>.”</w:t>
      </w:r>
      <w:r w:rsidRPr="008D7606">
        <w:rPr>
          <w:rFonts w:ascii="Segoe UI" w:eastAsia="Times New Roman" w:hAnsi="Segoe UI" w:cs="Segoe UI"/>
          <w:color w:val="000000"/>
          <w:sz w:val="21"/>
          <w:szCs w:val="21"/>
          <w:lang w:eastAsia="es-CO"/>
        </w:rPr>
        <w:t> (subrayado fuera de texto)</w:t>
      </w:r>
    </w:p>
    <w:p w14:paraId="483D7124"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782A550E"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xml:space="preserve">En torno a los referidos comentarios de la OCDE, la Corte Constitucional en pronunciamientos como la Sentencia C-460/10, M.P. Dr. JORGE IVÁN PALACIO </w:t>
      </w:r>
      <w:proofErr w:type="spellStart"/>
      <w:r w:rsidRPr="008D7606">
        <w:rPr>
          <w:rFonts w:ascii="Segoe UI" w:eastAsia="Times New Roman" w:hAnsi="Segoe UI" w:cs="Segoe UI"/>
          <w:color w:val="000000"/>
          <w:sz w:val="21"/>
          <w:szCs w:val="21"/>
          <w:lang w:eastAsia="es-CO"/>
        </w:rPr>
        <w:t>PALACIO</w:t>
      </w:r>
      <w:proofErr w:type="spellEnd"/>
      <w:r w:rsidRPr="008D7606">
        <w:rPr>
          <w:rFonts w:ascii="Segoe UI" w:eastAsia="Times New Roman" w:hAnsi="Segoe UI" w:cs="Segoe UI"/>
          <w:color w:val="000000"/>
          <w:sz w:val="21"/>
          <w:szCs w:val="21"/>
          <w:lang w:eastAsia="es-CO"/>
        </w:rPr>
        <w:t>, ha señalado que constituyen una valiosa herramienta auxiliar de interpretación.</w:t>
      </w:r>
    </w:p>
    <w:p w14:paraId="0B0DF845"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31FA1E0C"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Así las cosas, para efectos del CDI </w:t>
      </w:r>
      <w:r w:rsidRPr="008D7606">
        <w:rPr>
          <w:rFonts w:ascii="Segoe UI" w:eastAsia="Times New Roman" w:hAnsi="Segoe UI" w:cs="Segoe UI"/>
          <w:i/>
          <w:iCs/>
          <w:color w:val="000000"/>
          <w:sz w:val="21"/>
          <w:szCs w:val="21"/>
          <w:lang w:eastAsia="es-CO"/>
        </w:rPr>
        <w:t>sub examine</w:t>
      </w:r>
      <w:r w:rsidRPr="008D7606">
        <w:rPr>
          <w:rFonts w:ascii="Segoe UI" w:eastAsia="Times New Roman" w:hAnsi="Segoe UI" w:cs="Segoe UI"/>
          <w:color w:val="000000"/>
          <w:sz w:val="21"/>
          <w:szCs w:val="21"/>
          <w:lang w:eastAsia="es-CO"/>
        </w:rPr>
        <w:t>, la donación y la transmisión de bienes por causa de muerte estarían comprendidos dentro de la expresión “enajenación de bienes”, regulada como ganancias de capital.</w:t>
      </w:r>
    </w:p>
    <w:p w14:paraId="635F87ED"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62EE7992"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Por ende, ya sea que el valor de las acciones en una sociedad colombiana se derive - directa o indirectamente- en más de un 50% de bienes inmuebles situados en Colombia, o no, su donación o legado por parte de un residente fiscal colombiano estará sometido a imposición en el país, teniendo en cuenta lo previsto en los numerales 4 y 5 del artículo 13 del CDI.</w:t>
      </w:r>
    </w:p>
    <w:p w14:paraId="71BAB425"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229DF50A"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En efecto, en el caso del mencionado numeral 5 es de recordar que juega un papel determinante el Estado donde resida el transmitente de los bienes, es decir, quien los cede o transmite (cfr. Diccionario de la lengua española), que para el caso planteado corresponde a una persona natural con residencia fiscal en Colombia.</w:t>
      </w:r>
    </w:p>
    <w:p w14:paraId="20CE5561"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 </w:t>
      </w:r>
    </w:p>
    <w:p w14:paraId="26AE2E6D" w14:textId="77777777" w:rsidR="008D7606" w:rsidRPr="008D7606" w:rsidRDefault="008D7606" w:rsidP="008D7606">
      <w:pPr>
        <w:spacing w:after="0" w:line="240" w:lineRule="auto"/>
        <w:jc w:val="both"/>
        <w:rPr>
          <w:rFonts w:ascii="Segoe UI" w:eastAsia="Times New Roman" w:hAnsi="Segoe UI" w:cs="Segoe UI"/>
          <w:color w:val="000000"/>
          <w:sz w:val="21"/>
          <w:szCs w:val="21"/>
          <w:lang w:eastAsia="es-CO"/>
        </w:rPr>
      </w:pPr>
      <w:r w:rsidRPr="008D7606">
        <w:rPr>
          <w:rFonts w:ascii="Segoe UI" w:eastAsia="Times New Roman" w:hAnsi="Segoe UI" w:cs="Segoe UI"/>
          <w:color w:val="000000"/>
          <w:sz w:val="21"/>
          <w:szCs w:val="21"/>
          <w:lang w:eastAsia="es-CO"/>
        </w:rPr>
        <w:t>Para efectos de lo anterior, es importante tener en cuenta que, de conformidad con los artículos </w:t>
      </w:r>
      <w:hyperlink r:id="rId4" w:tooltip="Estatuto Tributario CETA" w:history="1">
        <w:r w:rsidRPr="008D7606">
          <w:rPr>
            <w:rFonts w:ascii="Segoe UI" w:eastAsia="Times New Roman" w:hAnsi="Segoe UI" w:cs="Segoe UI"/>
            <w:color w:val="0645AD"/>
            <w:sz w:val="21"/>
            <w:szCs w:val="21"/>
            <w:u w:val="single"/>
            <w:lang w:eastAsia="es-CO"/>
          </w:rPr>
          <w:t>9</w:t>
        </w:r>
      </w:hyperlink>
      <w:r w:rsidRPr="008D7606">
        <w:rPr>
          <w:rFonts w:ascii="Segoe UI" w:eastAsia="Times New Roman" w:hAnsi="Segoe UI" w:cs="Segoe UI"/>
          <w:color w:val="000000"/>
          <w:sz w:val="21"/>
          <w:szCs w:val="21"/>
          <w:lang w:eastAsia="es-CO"/>
        </w:rPr>
        <w:t> y </w:t>
      </w:r>
      <w:hyperlink r:id="rId5" w:tooltip="Estatuto Tributario CETA" w:history="1">
        <w:r w:rsidRPr="008D7606">
          <w:rPr>
            <w:rFonts w:ascii="Segoe UI" w:eastAsia="Times New Roman" w:hAnsi="Segoe UI" w:cs="Segoe UI"/>
            <w:color w:val="0645AD"/>
            <w:sz w:val="21"/>
            <w:szCs w:val="21"/>
            <w:u w:val="single"/>
            <w:lang w:eastAsia="es-CO"/>
          </w:rPr>
          <w:t>12</w:t>
        </w:r>
      </w:hyperlink>
      <w:r w:rsidRPr="008D7606">
        <w:rPr>
          <w:rFonts w:ascii="Segoe UI" w:eastAsia="Times New Roman" w:hAnsi="Segoe UI" w:cs="Segoe UI"/>
          <w:color w:val="000000"/>
          <w:sz w:val="21"/>
          <w:szCs w:val="21"/>
          <w:lang w:eastAsia="es-CO"/>
        </w:rPr>
        <w:t> del Estatuto Tributario, las personas naturales sin residencia en el país y las sociedades extranjeras son gravadas en el país sobre sus rentas y </w:t>
      </w:r>
      <w:r w:rsidRPr="008D7606">
        <w:rPr>
          <w:rFonts w:ascii="Segoe UI" w:eastAsia="Times New Roman" w:hAnsi="Segoe UI" w:cs="Segoe UI"/>
          <w:color w:val="000000"/>
          <w:sz w:val="21"/>
          <w:szCs w:val="21"/>
          <w:u w:val="single"/>
          <w:lang w:eastAsia="es-CO"/>
        </w:rPr>
        <w:t>ganancias ocasionales de fuente nacional</w:t>
      </w:r>
      <w:r w:rsidRPr="008D7606">
        <w:rPr>
          <w:rFonts w:ascii="Segoe UI" w:eastAsia="Times New Roman" w:hAnsi="Segoe UI" w:cs="Segoe UI"/>
          <w:color w:val="000000"/>
          <w:sz w:val="21"/>
          <w:szCs w:val="21"/>
          <w:lang w:eastAsia="es-CO"/>
        </w:rPr>
        <w:t>. Así las cosas, deberán atenderse las disposiciones del </w:t>
      </w:r>
      <w:hyperlink r:id="rId6" w:tooltip="Estatuto Tributario CETA" w:history="1">
        <w:r w:rsidRPr="008D7606">
          <w:rPr>
            <w:rFonts w:ascii="Segoe UI" w:eastAsia="Times New Roman" w:hAnsi="Segoe UI" w:cs="Segoe UI"/>
            <w:color w:val="0645AD"/>
            <w:sz w:val="21"/>
            <w:szCs w:val="21"/>
            <w:u w:val="single"/>
            <w:lang w:eastAsia="es-CO"/>
          </w:rPr>
          <w:t>artículo 300</w:t>
        </w:r>
      </w:hyperlink>
      <w:r w:rsidRPr="008D7606">
        <w:rPr>
          <w:rFonts w:ascii="Segoe UI" w:eastAsia="Times New Roman" w:hAnsi="Segoe UI" w:cs="Segoe UI"/>
          <w:color w:val="000000"/>
          <w:sz w:val="21"/>
          <w:szCs w:val="21"/>
          <w:lang w:eastAsia="es-CO"/>
        </w:rPr>
        <w:t> del Estatuto Tributario y siguientes, en particular el </w:t>
      </w:r>
      <w:hyperlink r:id="rId7" w:tooltip="Estatuto Tributario CETA" w:history="1">
        <w:r w:rsidRPr="008D7606">
          <w:rPr>
            <w:rFonts w:ascii="Segoe UI" w:eastAsia="Times New Roman" w:hAnsi="Segoe UI" w:cs="Segoe UI"/>
            <w:color w:val="0645AD"/>
            <w:sz w:val="21"/>
            <w:szCs w:val="21"/>
            <w:u w:val="single"/>
            <w:lang w:eastAsia="es-CO"/>
          </w:rPr>
          <w:t>artículo 316</w:t>
        </w:r>
      </w:hyperlink>
      <w:r w:rsidRPr="008D7606">
        <w:rPr>
          <w:rFonts w:ascii="Segoe UI" w:eastAsia="Times New Roman" w:hAnsi="Segoe UI" w:cs="Segoe UI"/>
          <w:color w:val="000000"/>
          <w:sz w:val="21"/>
          <w:szCs w:val="21"/>
          <w:lang w:eastAsia="es-CO"/>
        </w:rPr>
        <w:t> </w:t>
      </w:r>
      <w:r w:rsidRPr="008D7606">
        <w:rPr>
          <w:rFonts w:ascii="Segoe UI" w:eastAsia="Times New Roman" w:hAnsi="Segoe UI" w:cs="Segoe UI"/>
          <w:i/>
          <w:iCs/>
          <w:color w:val="000000"/>
          <w:sz w:val="21"/>
          <w:szCs w:val="21"/>
          <w:lang w:eastAsia="es-CO"/>
        </w:rPr>
        <w:t>ibidem,</w:t>
      </w:r>
      <w:r w:rsidRPr="008D7606">
        <w:rPr>
          <w:rFonts w:ascii="Segoe UI" w:eastAsia="Times New Roman" w:hAnsi="Segoe UI" w:cs="Segoe UI"/>
          <w:color w:val="000000"/>
          <w:sz w:val="21"/>
          <w:szCs w:val="21"/>
          <w:lang w:eastAsia="es-CO"/>
        </w:rPr>
        <w:t> el cual dispone:</w:t>
      </w:r>
    </w:p>
    <w:p w14:paraId="08726385" w14:textId="4AC9B95B" w:rsidR="008D7606" w:rsidRDefault="008D7606" w:rsidP="008D7606">
      <w:pPr>
        <w:pStyle w:val="NormalWeb"/>
        <w:spacing w:before="0" w:beforeAutospacing="0" w:after="0" w:afterAutospacing="0"/>
        <w:jc w:val="both"/>
        <w:rPr>
          <w:rFonts w:ascii="Segoe UI" w:hAnsi="Segoe UI" w:cs="Segoe UI"/>
          <w:b/>
          <w:bCs/>
          <w:color w:val="000000"/>
          <w:sz w:val="21"/>
          <w:szCs w:val="21"/>
        </w:rPr>
      </w:pPr>
    </w:p>
    <w:p w14:paraId="37D8BA84" w14:textId="1078275B" w:rsidR="008D7606" w:rsidRDefault="008D7606" w:rsidP="008D7606">
      <w:pPr>
        <w:pStyle w:val="NormalWeb"/>
        <w:spacing w:before="0" w:beforeAutospacing="0" w:after="0" w:afterAutospacing="0"/>
        <w:jc w:val="both"/>
        <w:rPr>
          <w:rFonts w:ascii="Segoe UI" w:hAnsi="Segoe UI" w:cs="Segoe UI"/>
          <w:b/>
          <w:bCs/>
          <w:color w:val="000000"/>
          <w:sz w:val="21"/>
          <w:szCs w:val="21"/>
        </w:rPr>
      </w:pPr>
    </w:p>
    <w:p w14:paraId="6C8A99E2" w14:textId="1C3E6C6A" w:rsidR="008D7606" w:rsidRDefault="008D7606" w:rsidP="008D7606">
      <w:pPr>
        <w:pStyle w:val="NormalWeb"/>
        <w:spacing w:before="0" w:beforeAutospacing="0" w:after="0" w:afterAutospacing="0"/>
        <w:jc w:val="both"/>
        <w:rPr>
          <w:rFonts w:ascii="Segoe UI" w:hAnsi="Segoe UI" w:cs="Segoe UI"/>
          <w:b/>
          <w:bCs/>
          <w:color w:val="000000"/>
          <w:sz w:val="21"/>
          <w:szCs w:val="21"/>
        </w:rPr>
      </w:pPr>
    </w:p>
    <w:p w14:paraId="46302ABE" w14:textId="77777777" w:rsidR="008D7606" w:rsidRDefault="008D7606" w:rsidP="008D7606">
      <w:pPr>
        <w:pStyle w:val="NormalWeb"/>
        <w:spacing w:before="0" w:beforeAutospacing="0" w:after="0" w:afterAutospacing="0"/>
        <w:ind w:left="284"/>
        <w:jc w:val="both"/>
        <w:rPr>
          <w:rFonts w:ascii="Segoe UI" w:hAnsi="Segoe UI" w:cs="Segoe UI"/>
          <w:color w:val="000000"/>
          <w:sz w:val="21"/>
          <w:szCs w:val="21"/>
        </w:rPr>
      </w:pPr>
      <w:hyperlink r:id="rId8" w:tooltip="Estatuto Tributario CETA" w:history="1">
        <w:r>
          <w:rPr>
            <w:rStyle w:val="Hipervnculo"/>
            <w:rFonts w:ascii="Segoe UI" w:hAnsi="Segoe UI" w:cs="Segoe UI"/>
            <w:b/>
            <w:bCs/>
            <w:i/>
            <w:iCs/>
            <w:color w:val="0645AD"/>
            <w:sz w:val="21"/>
            <w:szCs w:val="21"/>
          </w:rPr>
          <w:t>ARTÍCULO 316</w:t>
        </w:r>
      </w:hyperlink>
      <w:r>
        <w:rPr>
          <w:rFonts w:ascii="Segoe UI" w:hAnsi="Segoe UI" w:cs="Segoe UI"/>
          <w:b/>
          <w:bCs/>
          <w:i/>
          <w:iCs/>
          <w:color w:val="000000"/>
          <w:sz w:val="21"/>
          <w:szCs w:val="21"/>
        </w:rPr>
        <w:t>. PARA PERSONAS NATURALES EXTRANJERAS SIN RESIDENCIA.</w:t>
      </w:r>
      <w:r>
        <w:rPr>
          <w:rFonts w:ascii="Segoe UI" w:hAnsi="Segoe UI" w:cs="Segoe UI"/>
          <w:i/>
          <w:iCs/>
          <w:color w:val="000000"/>
          <w:sz w:val="21"/>
          <w:szCs w:val="21"/>
        </w:rPr>
        <w:t> &lt;Artículo modificado por el artículo 108 de la Ley 1607 de 2012. El nuevo texto es el siguiente:&gt; La tarifa única sobre las ganancias ocasionales de fuente nacional de las personas naturales sin residencia en el país y de las sucesiones de causantes personas naturales sin residencia en el país, </w:t>
      </w:r>
      <w:r>
        <w:rPr>
          <w:rFonts w:ascii="Segoe UI" w:hAnsi="Segoe UI" w:cs="Segoe UI"/>
          <w:i/>
          <w:iCs/>
          <w:color w:val="000000"/>
          <w:sz w:val="21"/>
          <w:szCs w:val="21"/>
          <w:u w:val="single"/>
        </w:rPr>
        <w:t>es diez por ciento (10%)</w:t>
      </w:r>
      <w:r>
        <w:rPr>
          <w:rFonts w:ascii="Segoe UI" w:hAnsi="Segoe UI" w:cs="Segoe UI"/>
          <w:i/>
          <w:iCs/>
          <w:color w:val="000000"/>
          <w:sz w:val="21"/>
          <w:szCs w:val="21"/>
        </w:rPr>
        <w:t>.”</w:t>
      </w:r>
      <w:r>
        <w:rPr>
          <w:rFonts w:ascii="Segoe UI" w:hAnsi="Segoe UI" w:cs="Segoe UI"/>
          <w:color w:val="000000"/>
          <w:sz w:val="21"/>
          <w:szCs w:val="21"/>
        </w:rPr>
        <w:t> (subrayado fuera de texto)</w:t>
      </w:r>
    </w:p>
    <w:p w14:paraId="40E4A1AD" w14:textId="77777777" w:rsidR="008D7606" w:rsidRDefault="008D7606" w:rsidP="008D7606">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E1B3DD8" w14:textId="77777777" w:rsidR="008D7606" w:rsidRDefault="008D7606" w:rsidP="008D7606">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último, la inquietud relacionada con el registro cambiario será remitida al Banco de la República, entidad competente en la materia</w:t>
      </w:r>
    </w:p>
    <w:p w14:paraId="22B5CA43" w14:textId="77777777" w:rsidR="008D7606" w:rsidRDefault="008D7606" w:rsidP="008D7606">
      <w:pPr>
        <w:pStyle w:val="NormalWeb"/>
        <w:spacing w:before="0" w:beforeAutospacing="0" w:after="0" w:afterAutospacing="0"/>
        <w:jc w:val="both"/>
        <w:rPr>
          <w:rFonts w:ascii="Segoe UI" w:hAnsi="Segoe UI" w:cs="Segoe UI"/>
          <w:color w:val="000000"/>
          <w:sz w:val="21"/>
          <w:szCs w:val="21"/>
        </w:rPr>
      </w:pPr>
    </w:p>
    <w:p w14:paraId="0390561B" w14:textId="77777777" w:rsidR="008D7606" w:rsidRDefault="008D7606" w:rsidP="008D7606">
      <w:pPr>
        <w:pStyle w:val="NormalWeb"/>
        <w:spacing w:before="0" w:beforeAutospacing="0" w:after="0" w:afterAutospacing="0"/>
        <w:jc w:val="both"/>
        <w:rPr>
          <w:rFonts w:ascii="Segoe UI" w:hAnsi="Segoe UI" w:cs="Segoe UI"/>
          <w:color w:val="000000"/>
          <w:sz w:val="21"/>
          <w:szCs w:val="21"/>
        </w:rPr>
      </w:pPr>
    </w:p>
    <w:p w14:paraId="096AF6A1" w14:textId="77777777" w:rsidR="008D7606" w:rsidRDefault="008D7606" w:rsidP="008D7606">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Atentamente,</w:t>
      </w:r>
    </w:p>
    <w:p w14:paraId="21D1D4FC" w14:textId="09E47D0D" w:rsidR="008D7606" w:rsidRDefault="008D7606" w:rsidP="008D7606">
      <w:pPr>
        <w:pStyle w:val="NormalWeb"/>
        <w:spacing w:before="0" w:beforeAutospacing="0" w:after="0" w:afterAutospacing="0"/>
        <w:jc w:val="both"/>
        <w:rPr>
          <w:rFonts w:ascii="Segoe UI" w:hAnsi="Segoe UI" w:cs="Segoe UI"/>
          <w:b/>
          <w:bCs/>
          <w:color w:val="000000"/>
          <w:sz w:val="21"/>
          <w:szCs w:val="21"/>
        </w:rPr>
      </w:pPr>
    </w:p>
    <w:p w14:paraId="1D9E035D" w14:textId="51F3BDA2" w:rsidR="008D7606" w:rsidRDefault="008D7606" w:rsidP="008D7606">
      <w:pPr>
        <w:pStyle w:val="NormalWeb"/>
        <w:spacing w:before="0" w:beforeAutospacing="0" w:after="0" w:afterAutospacing="0"/>
        <w:jc w:val="both"/>
        <w:rPr>
          <w:rFonts w:ascii="Segoe UI" w:hAnsi="Segoe UI" w:cs="Segoe UI"/>
          <w:b/>
          <w:bCs/>
          <w:color w:val="000000"/>
          <w:sz w:val="21"/>
          <w:szCs w:val="21"/>
        </w:rPr>
      </w:pPr>
    </w:p>
    <w:p w14:paraId="28B4CACD" w14:textId="27609CD7" w:rsidR="008D7606" w:rsidRDefault="008D7606" w:rsidP="008D7606">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ALFREDO RAMÍREZ CASTAÑEDA</w:t>
      </w:r>
    </w:p>
    <w:p w14:paraId="3AD4E1F4" w14:textId="77777777" w:rsidR="008D7606" w:rsidRDefault="008D7606" w:rsidP="008D7606">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Subdirector de Normativa y Doctrina (E)</w:t>
      </w:r>
    </w:p>
    <w:p w14:paraId="13ED326C" w14:textId="77777777" w:rsidR="008D7606" w:rsidRDefault="008D7606" w:rsidP="008D7606">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Dirección de Gestión Jurídica</w:t>
      </w:r>
    </w:p>
    <w:p w14:paraId="0DB4187A" w14:textId="77777777" w:rsidR="008D7606" w:rsidRDefault="008D7606" w:rsidP="008D7606">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UAE-Dirección de Impuestos y Aduanas Nacionales</w:t>
      </w:r>
    </w:p>
    <w:p w14:paraId="66584602"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06"/>
    <w:rsid w:val="000F3837"/>
    <w:rsid w:val="001E311E"/>
    <w:rsid w:val="00434AE6"/>
    <w:rsid w:val="007F5CC8"/>
    <w:rsid w:val="008779BE"/>
    <w:rsid w:val="008D7606"/>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A461"/>
  <w15:chartTrackingRefBased/>
  <w15:docId w15:val="{90F2F585-D91A-4A35-B892-D891E5D0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D7606"/>
    <w:pPr>
      <w:spacing w:before="100" w:beforeAutospacing="1" w:after="100" w:afterAutospacing="1" w:line="240" w:lineRule="auto"/>
    </w:pPr>
    <w:rPr>
      <w:rFonts w:eastAsia="Times New Roman" w:cs="Times New Roman"/>
      <w:szCs w:val="24"/>
      <w:lang w:eastAsia="es-CO"/>
    </w:rPr>
  </w:style>
  <w:style w:type="character" w:styleId="Hipervnculo">
    <w:name w:val="Hyperlink"/>
    <w:basedOn w:val="Fuentedeprrafopredeter"/>
    <w:uiPriority w:val="99"/>
    <w:semiHidden/>
    <w:unhideWhenUsed/>
    <w:rsid w:val="008D76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24615">
      <w:bodyDiv w:val="1"/>
      <w:marLeft w:val="0"/>
      <w:marRight w:val="0"/>
      <w:marTop w:val="0"/>
      <w:marBottom w:val="0"/>
      <w:divBdr>
        <w:top w:val="none" w:sz="0" w:space="0" w:color="auto"/>
        <w:left w:val="none" w:sz="0" w:space="0" w:color="auto"/>
        <w:bottom w:val="none" w:sz="0" w:space="0" w:color="auto"/>
        <w:right w:val="none" w:sz="0" w:space="0" w:color="auto"/>
      </w:divBdr>
    </w:div>
    <w:div w:id="596328472">
      <w:bodyDiv w:val="1"/>
      <w:marLeft w:val="0"/>
      <w:marRight w:val="0"/>
      <w:marTop w:val="0"/>
      <w:marBottom w:val="0"/>
      <w:divBdr>
        <w:top w:val="none" w:sz="0" w:space="0" w:color="auto"/>
        <w:left w:val="none" w:sz="0" w:space="0" w:color="auto"/>
        <w:bottom w:val="none" w:sz="0" w:space="0" w:color="auto"/>
        <w:right w:val="none" w:sz="0" w:space="0" w:color="auto"/>
      </w:divBdr>
    </w:div>
    <w:div w:id="1126388106">
      <w:bodyDiv w:val="1"/>
      <w:marLeft w:val="0"/>
      <w:marRight w:val="0"/>
      <w:marTop w:val="0"/>
      <w:marBottom w:val="0"/>
      <w:divBdr>
        <w:top w:val="none" w:sz="0" w:space="0" w:color="auto"/>
        <w:left w:val="none" w:sz="0" w:space="0" w:color="auto"/>
        <w:bottom w:val="none" w:sz="0" w:space="0" w:color="auto"/>
        <w:right w:val="none" w:sz="0" w:space="0" w:color="auto"/>
      </w:divBdr>
    </w:div>
    <w:div w:id="1493061547">
      <w:bodyDiv w:val="1"/>
      <w:marLeft w:val="0"/>
      <w:marRight w:val="0"/>
      <w:marTop w:val="0"/>
      <w:marBottom w:val="0"/>
      <w:divBdr>
        <w:top w:val="none" w:sz="0" w:space="0" w:color="auto"/>
        <w:left w:val="none" w:sz="0" w:space="0" w:color="auto"/>
        <w:bottom w:val="none" w:sz="0" w:space="0" w:color="auto"/>
        <w:right w:val="none" w:sz="0" w:space="0" w:color="auto"/>
      </w:divBdr>
    </w:div>
    <w:div w:id="195278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394"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3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377" TargetMode="External"/><Relationship Id="rId5" Type="http://schemas.openxmlformats.org/officeDocument/2006/relationships/hyperlink" Target="https://www.ceta.org.co/html/vista_de_un_articulo.asp?Norma=34" TargetMode="External"/><Relationship Id="rId10" Type="http://schemas.openxmlformats.org/officeDocument/2006/relationships/theme" Target="theme/theme1.xml"/><Relationship Id="rId4" Type="http://schemas.openxmlformats.org/officeDocument/2006/relationships/hyperlink" Target="https://www.ceta.org.co/html/vista_de_un_articulo.asp?Norma=31"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1221</Words>
  <Characters>6721</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2023-01-09T23:25:00Z</dcterms:created>
  <dcterms:modified xsi:type="dcterms:W3CDTF">2023-01-09T23:32:00Z</dcterms:modified>
</cp:coreProperties>
</file>