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94BA" w14:textId="21FB1054"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p>
    <w:p w14:paraId="01745DB8" w14:textId="77777777" w:rsidR="006A728D" w:rsidRPr="006A728D" w:rsidRDefault="006A728D" w:rsidP="006A728D">
      <w:pPr>
        <w:shd w:val="clear" w:color="auto" w:fill="FFFFFF"/>
        <w:spacing w:after="100" w:afterAutospacing="1" w:line="360" w:lineRule="auto"/>
        <w:jc w:val="center"/>
        <w:rPr>
          <w:rFonts w:ascii="Segoe UI" w:eastAsia="Times New Roman" w:hAnsi="Segoe UI" w:cs="Segoe UI"/>
          <w:color w:val="212529"/>
          <w:szCs w:val="24"/>
          <w:lang w:eastAsia="es-CO"/>
        </w:rPr>
      </w:pPr>
      <w:r w:rsidRPr="006A728D">
        <w:rPr>
          <w:rFonts w:ascii="Segoe UI" w:eastAsia="Times New Roman" w:hAnsi="Segoe UI" w:cs="Segoe UI"/>
          <w:b/>
          <w:bCs/>
          <w:color w:val="212529"/>
          <w:szCs w:val="24"/>
          <w:lang w:eastAsia="es-CO"/>
        </w:rPr>
        <w:t xml:space="preserve">OFICIO </w:t>
      </w:r>
      <w:proofErr w:type="spellStart"/>
      <w:r w:rsidRPr="006A728D">
        <w:rPr>
          <w:rFonts w:ascii="Segoe UI" w:eastAsia="Times New Roman" w:hAnsi="Segoe UI" w:cs="Segoe UI"/>
          <w:b/>
          <w:bCs/>
          <w:color w:val="212529"/>
          <w:szCs w:val="24"/>
          <w:lang w:eastAsia="es-CO"/>
        </w:rPr>
        <w:t>Nº</w:t>
      </w:r>
      <w:proofErr w:type="spellEnd"/>
      <w:r w:rsidRPr="006A728D">
        <w:rPr>
          <w:rFonts w:ascii="Segoe UI" w:eastAsia="Times New Roman" w:hAnsi="Segoe UI" w:cs="Segoe UI"/>
          <w:b/>
          <w:bCs/>
          <w:color w:val="212529"/>
          <w:szCs w:val="24"/>
          <w:lang w:eastAsia="es-CO"/>
        </w:rPr>
        <w:t xml:space="preserve"> 1339 [908076]</w:t>
      </w:r>
    </w:p>
    <w:p w14:paraId="683C0D85" w14:textId="77777777" w:rsidR="006A728D" w:rsidRPr="006A728D" w:rsidRDefault="006A728D" w:rsidP="006A728D">
      <w:pPr>
        <w:shd w:val="clear" w:color="auto" w:fill="FFFFFF"/>
        <w:spacing w:after="100" w:afterAutospacing="1" w:line="360" w:lineRule="auto"/>
        <w:jc w:val="center"/>
        <w:rPr>
          <w:rFonts w:ascii="Segoe UI" w:eastAsia="Times New Roman" w:hAnsi="Segoe UI" w:cs="Segoe UI"/>
          <w:color w:val="212529"/>
          <w:szCs w:val="24"/>
          <w:lang w:eastAsia="es-CO"/>
        </w:rPr>
      </w:pPr>
      <w:r w:rsidRPr="006A728D">
        <w:rPr>
          <w:rFonts w:ascii="Segoe UI" w:eastAsia="Times New Roman" w:hAnsi="Segoe UI" w:cs="Segoe UI"/>
          <w:b/>
          <w:bCs/>
          <w:color w:val="212529"/>
          <w:szCs w:val="24"/>
          <w:lang w:eastAsia="es-CO"/>
        </w:rPr>
        <w:t>08-11-2022</w:t>
      </w:r>
    </w:p>
    <w:p w14:paraId="7677DF8C" w14:textId="21A84DA3" w:rsidR="006A728D" w:rsidRPr="006A728D" w:rsidRDefault="006A728D" w:rsidP="006A728D">
      <w:pPr>
        <w:shd w:val="clear" w:color="auto" w:fill="FFFFFF"/>
        <w:spacing w:after="100" w:afterAutospacing="1" w:line="360" w:lineRule="auto"/>
        <w:jc w:val="center"/>
        <w:rPr>
          <w:rFonts w:ascii="Segoe UI" w:eastAsia="Times New Roman" w:hAnsi="Segoe UI" w:cs="Segoe UI"/>
          <w:color w:val="212529"/>
          <w:szCs w:val="24"/>
          <w:lang w:eastAsia="es-CO"/>
        </w:rPr>
      </w:pPr>
      <w:r w:rsidRPr="006A728D">
        <w:rPr>
          <w:rFonts w:ascii="Segoe UI" w:eastAsia="Times New Roman" w:hAnsi="Segoe UI" w:cs="Segoe UI"/>
          <w:b/>
          <w:bCs/>
          <w:color w:val="212529"/>
          <w:szCs w:val="24"/>
          <w:lang w:eastAsia="es-CO"/>
        </w:rPr>
        <w:t>DIA</w:t>
      </w:r>
      <w:r>
        <w:rPr>
          <w:rFonts w:ascii="Segoe UI" w:eastAsia="Times New Roman" w:hAnsi="Segoe UI" w:cs="Segoe UI"/>
          <w:b/>
          <w:bCs/>
          <w:color w:val="212529"/>
          <w:szCs w:val="24"/>
          <w:lang w:eastAsia="es-CO"/>
        </w:rPr>
        <w:t>N</w:t>
      </w:r>
      <w:r w:rsidRPr="006A728D">
        <w:rPr>
          <w:rFonts w:ascii="Segoe UI" w:eastAsia="Times New Roman" w:hAnsi="Segoe UI" w:cs="Segoe UI"/>
          <w:color w:val="212529"/>
          <w:szCs w:val="24"/>
          <w:lang w:eastAsia="es-CO"/>
        </w:rPr>
        <w:t> </w:t>
      </w:r>
    </w:p>
    <w:tbl>
      <w:tblPr>
        <w:tblW w:w="0" w:type="auto"/>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1857"/>
        <w:gridCol w:w="4597"/>
      </w:tblGrid>
      <w:tr w:rsidR="006A728D" w:rsidRPr="006A728D" w14:paraId="5FEBDB13" w14:textId="77777777" w:rsidTr="006A728D">
        <w:tc>
          <w:tcPr>
            <w:tcW w:w="0" w:type="auto"/>
            <w:tcBorders>
              <w:top w:val="outset" w:sz="6" w:space="0" w:color="auto"/>
              <w:left w:val="outset" w:sz="6" w:space="0" w:color="auto"/>
              <w:bottom w:val="outset" w:sz="6" w:space="0" w:color="auto"/>
              <w:right w:val="outset" w:sz="6" w:space="0" w:color="auto"/>
            </w:tcBorders>
            <w:hideMark/>
          </w:tcPr>
          <w:p w14:paraId="6FC7E70E"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b/>
                <w:bCs/>
                <w:szCs w:val="24"/>
                <w:lang w:eastAsia="es-CO"/>
              </w:rPr>
              <w:t>Tema:</w:t>
            </w:r>
          </w:p>
        </w:tc>
        <w:tc>
          <w:tcPr>
            <w:tcW w:w="0" w:type="auto"/>
            <w:tcBorders>
              <w:top w:val="outset" w:sz="6" w:space="0" w:color="auto"/>
              <w:left w:val="outset" w:sz="6" w:space="0" w:color="auto"/>
              <w:bottom w:val="outset" w:sz="6" w:space="0" w:color="auto"/>
              <w:right w:val="outset" w:sz="6" w:space="0" w:color="auto"/>
            </w:tcBorders>
            <w:hideMark/>
          </w:tcPr>
          <w:p w14:paraId="62F80530"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szCs w:val="24"/>
                <w:lang w:eastAsia="es-CO"/>
              </w:rPr>
              <w:t>Procedimiento Tributario</w:t>
            </w:r>
          </w:p>
        </w:tc>
      </w:tr>
      <w:tr w:rsidR="006A728D" w:rsidRPr="006A728D" w14:paraId="279FFDD2" w14:textId="77777777" w:rsidTr="006A728D">
        <w:tc>
          <w:tcPr>
            <w:tcW w:w="0" w:type="auto"/>
            <w:tcBorders>
              <w:top w:val="outset" w:sz="6" w:space="0" w:color="auto"/>
              <w:left w:val="outset" w:sz="6" w:space="0" w:color="auto"/>
              <w:bottom w:val="outset" w:sz="6" w:space="0" w:color="auto"/>
              <w:right w:val="outset" w:sz="6" w:space="0" w:color="auto"/>
            </w:tcBorders>
            <w:hideMark/>
          </w:tcPr>
          <w:p w14:paraId="76406388"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b/>
                <w:bCs/>
                <w:szCs w:val="24"/>
                <w:lang w:eastAsia="es-CO"/>
              </w:rPr>
              <w:t>Descriptores:</w:t>
            </w:r>
          </w:p>
        </w:tc>
        <w:tc>
          <w:tcPr>
            <w:tcW w:w="0" w:type="auto"/>
            <w:tcBorders>
              <w:top w:val="outset" w:sz="6" w:space="0" w:color="auto"/>
              <w:left w:val="outset" w:sz="6" w:space="0" w:color="auto"/>
              <w:bottom w:val="outset" w:sz="6" w:space="0" w:color="auto"/>
              <w:right w:val="outset" w:sz="6" w:space="0" w:color="auto"/>
            </w:tcBorders>
            <w:hideMark/>
          </w:tcPr>
          <w:p w14:paraId="1F374D5F"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szCs w:val="24"/>
                <w:lang w:eastAsia="es-CO"/>
              </w:rPr>
              <w:t>Registro Único de Beneficiarios Finales – RUB</w:t>
            </w:r>
          </w:p>
        </w:tc>
      </w:tr>
      <w:tr w:rsidR="006A728D" w:rsidRPr="006A728D" w14:paraId="797A25C7" w14:textId="77777777" w:rsidTr="006A728D">
        <w:tc>
          <w:tcPr>
            <w:tcW w:w="0" w:type="auto"/>
            <w:tcBorders>
              <w:top w:val="outset" w:sz="6" w:space="0" w:color="auto"/>
              <w:left w:val="outset" w:sz="6" w:space="0" w:color="auto"/>
              <w:bottom w:val="outset" w:sz="6" w:space="0" w:color="auto"/>
              <w:right w:val="outset" w:sz="6" w:space="0" w:color="auto"/>
            </w:tcBorders>
            <w:hideMark/>
          </w:tcPr>
          <w:p w14:paraId="3FD91FA1"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b/>
                <w:bCs/>
                <w:szCs w:val="24"/>
                <w:lang w:eastAsia="es-CO"/>
              </w:rPr>
              <w:t>Fuentes formales:</w:t>
            </w:r>
          </w:p>
        </w:tc>
        <w:tc>
          <w:tcPr>
            <w:tcW w:w="0" w:type="auto"/>
            <w:tcBorders>
              <w:top w:val="outset" w:sz="6" w:space="0" w:color="auto"/>
              <w:left w:val="outset" w:sz="6" w:space="0" w:color="auto"/>
              <w:bottom w:val="outset" w:sz="6" w:space="0" w:color="auto"/>
              <w:right w:val="outset" w:sz="6" w:space="0" w:color="auto"/>
            </w:tcBorders>
            <w:hideMark/>
          </w:tcPr>
          <w:p w14:paraId="079F4220" w14:textId="77777777" w:rsidR="006A728D" w:rsidRPr="006A728D" w:rsidRDefault="006A728D" w:rsidP="006A728D">
            <w:pPr>
              <w:spacing w:after="0" w:line="360" w:lineRule="auto"/>
              <w:jc w:val="both"/>
              <w:rPr>
                <w:rFonts w:eastAsia="Times New Roman" w:cs="Times New Roman"/>
                <w:szCs w:val="24"/>
                <w:lang w:eastAsia="es-CO"/>
              </w:rPr>
            </w:pPr>
            <w:r w:rsidRPr="006A728D">
              <w:rPr>
                <w:rFonts w:eastAsia="Times New Roman" w:cs="Times New Roman"/>
                <w:szCs w:val="24"/>
                <w:u w:val="single"/>
                <w:lang w:eastAsia="es-CO"/>
              </w:rPr>
              <w:t>Artículo 631-5</w:t>
            </w:r>
            <w:r w:rsidRPr="006A728D">
              <w:rPr>
                <w:rFonts w:eastAsia="Times New Roman" w:cs="Times New Roman"/>
                <w:szCs w:val="24"/>
                <w:lang w:eastAsia="es-CO"/>
              </w:rPr>
              <w:t> del Estatuto Tributario</w:t>
            </w:r>
          </w:p>
          <w:p w14:paraId="03B888EA" w14:textId="77777777" w:rsidR="006A728D" w:rsidRPr="006A728D" w:rsidRDefault="006A728D" w:rsidP="006A728D">
            <w:pPr>
              <w:spacing w:after="100" w:afterAutospacing="1" w:line="360" w:lineRule="auto"/>
              <w:jc w:val="both"/>
              <w:rPr>
                <w:rFonts w:eastAsia="Times New Roman" w:cs="Times New Roman"/>
                <w:szCs w:val="24"/>
                <w:lang w:eastAsia="es-CO"/>
              </w:rPr>
            </w:pPr>
            <w:r w:rsidRPr="006A728D">
              <w:rPr>
                <w:rFonts w:eastAsia="Times New Roman" w:cs="Times New Roman"/>
                <w:szCs w:val="24"/>
                <w:lang w:eastAsia="es-CO"/>
              </w:rPr>
              <w:t>Artículos 669 y 823 del Código Civil</w:t>
            </w:r>
          </w:p>
          <w:p w14:paraId="596930D4" w14:textId="77777777" w:rsidR="006A728D" w:rsidRPr="006A728D" w:rsidRDefault="006A728D" w:rsidP="006A728D">
            <w:pPr>
              <w:spacing w:after="100" w:afterAutospacing="1" w:line="360" w:lineRule="auto"/>
              <w:jc w:val="both"/>
              <w:rPr>
                <w:rFonts w:eastAsia="Times New Roman" w:cs="Times New Roman"/>
                <w:szCs w:val="24"/>
                <w:lang w:eastAsia="es-CO"/>
              </w:rPr>
            </w:pPr>
            <w:r w:rsidRPr="006A728D">
              <w:rPr>
                <w:rFonts w:eastAsia="Times New Roman" w:cs="Times New Roman"/>
                <w:szCs w:val="24"/>
                <w:lang w:eastAsia="es-CO"/>
              </w:rPr>
              <w:t>Artículo 412 del Código de Comercio</w:t>
            </w:r>
          </w:p>
          <w:p w14:paraId="33831B38" w14:textId="77777777" w:rsidR="006A728D" w:rsidRPr="006A728D" w:rsidRDefault="006A728D" w:rsidP="006A728D">
            <w:pPr>
              <w:spacing w:after="100" w:afterAutospacing="1" w:line="360" w:lineRule="auto"/>
              <w:jc w:val="both"/>
              <w:rPr>
                <w:rFonts w:eastAsia="Times New Roman" w:cs="Times New Roman"/>
                <w:szCs w:val="24"/>
                <w:lang w:eastAsia="es-CO"/>
              </w:rPr>
            </w:pPr>
            <w:r w:rsidRPr="006A728D">
              <w:rPr>
                <w:rFonts w:eastAsia="Times New Roman" w:cs="Times New Roman"/>
                <w:szCs w:val="24"/>
                <w:lang w:eastAsia="es-CO"/>
              </w:rPr>
              <w:t>Artículos 5 y 7 de la Ley 2166 de 2021</w:t>
            </w:r>
          </w:p>
          <w:p w14:paraId="47B803E4" w14:textId="77777777" w:rsidR="006A728D" w:rsidRPr="006A728D" w:rsidRDefault="006A728D" w:rsidP="006A728D">
            <w:pPr>
              <w:spacing w:after="100" w:afterAutospacing="1" w:line="360" w:lineRule="auto"/>
              <w:jc w:val="both"/>
              <w:rPr>
                <w:rFonts w:eastAsia="Times New Roman" w:cs="Times New Roman"/>
                <w:szCs w:val="24"/>
                <w:lang w:eastAsia="es-CO"/>
              </w:rPr>
            </w:pPr>
            <w:r w:rsidRPr="006A728D">
              <w:rPr>
                <w:rFonts w:eastAsia="Times New Roman" w:cs="Times New Roman"/>
                <w:szCs w:val="24"/>
                <w:lang w:eastAsia="es-CO"/>
              </w:rPr>
              <w:t>Resolución No. 000164 de 2021</w:t>
            </w:r>
          </w:p>
        </w:tc>
      </w:tr>
    </w:tbl>
    <w:p w14:paraId="5E084F55"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 </w:t>
      </w:r>
    </w:p>
    <w:p w14:paraId="7FD85C72"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A5F8930"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Mediante el radicado de la referencia y en relación con el derecho de usufructo y la nuda propiedad sobre las acciones de una sociedad, el peticionario consulta textualmente lo siguiente de cara al Registro Único de Beneficiarios finales (en adelante RUB):</w:t>
      </w:r>
    </w:p>
    <w:p w14:paraId="2E1EAF03"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1. Si existe un </w:t>
      </w:r>
      <w:r w:rsidRPr="006A728D">
        <w:rPr>
          <w:rFonts w:ascii="Segoe UI" w:eastAsia="Times New Roman" w:hAnsi="Segoe UI" w:cs="Segoe UI"/>
          <w:i/>
          <w:iCs/>
          <w:color w:val="212529"/>
          <w:szCs w:val="24"/>
          <w:u w:val="single"/>
          <w:lang w:eastAsia="es-CO"/>
        </w:rPr>
        <w:t>derecho de usufructo,</w:t>
      </w:r>
      <w:r w:rsidRPr="006A728D">
        <w:rPr>
          <w:rFonts w:ascii="Segoe UI" w:eastAsia="Times New Roman" w:hAnsi="Segoe UI" w:cs="Segoe UI"/>
          <w:i/>
          <w:iCs/>
          <w:color w:val="212529"/>
          <w:szCs w:val="24"/>
          <w:lang w:eastAsia="es-CO"/>
        </w:rPr>
        <w:t> ¿qué reflexiones se deben tener en cuenta de cara al Registro de Beneficiarios finales?</w:t>
      </w:r>
    </w:p>
    <w:p w14:paraId="6A2CBEE2"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2. En el registro de Beneficiarios finales ¿se deben reportar </w:t>
      </w:r>
      <w:r w:rsidRPr="006A728D">
        <w:rPr>
          <w:rFonts w:ascii="Segoe UI" w:eastAsia="Times New Roman" w:hAnsi="Segoe UI" w:cs="Segoe UI"/>
          <w:i/>
          <w:iCs/>
          <w:color w:val="212529"/>
          <w:szCs w:val="24"/>
          <w:u w:val="single"/>
          <w:lang w:eastAsia="es-CO"/>
        </w:rPr>
        <w:t>nudos propietarios y usufructuarios</w:t>
      </w:r>
      <w:r w:rsidRPr="006A728D">
        <w:rPr>
          <w:rFonts w:ascii="Segoe UI" w:eastAsia="Times New Roman" w:hAnsi="Segoe UI" w:cs="Segoe UI"/>
          <w:i/>
          <w:iCs/>
          <w:color w:val="212529"/>
          <w:szCs w:val="24"/>
          <w:lang w:eastAsia="es-CO"/>
        </w:rPr>
        <w:t> o solo uno de ellos?</w:t>
      </w:r>
    </w:p>
    <w:p w14:paraId="51A3D82A"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lastRenderedPageBreak/>
        <w:t>3. En las empresas de familia donde existen protocolos de familia con </w:t>
      </w:r>
      <w:r w:rsidRPr="006A728D">
        <w:rPr>
          <w:rFonts w:ascii="Segoe UI" w:eastAsia="Times New Roman" w:hAnsi="Segoe UI" w:cs="Segoe UI"/>
          <w:i/>
          <w:iCs/>
          <w:color w:val="212529"/>
          <w:szCs w:val="24"/>
          <w:u w:val="single"/>
          <w:lang w:eastAsia="es-CO"/>
        </w:rPr>
        <w:t>“consejos de Familia”, </w:t>
      </w:r>
      <w:r w:rsidRPr="006A728D">
        <w:rPr>
          <w:rFonts w:ascii="Segoe UI" w:eastAsia="Times New Roman" w:hAnsi="Segoe UI" w:cs="Segoe UI"/>
          <w:i/>
          <w:iCs/>
          <w:color w:val="212529"/>
          <w:szCs w:val="24"/>
          <w:lang w:eastAsia="es-CO"/>
        </w:rPr>
        <w:t>¿estos consejos deben atender las reglas de beneficiarios finales?</w:t>
      </w:r>
    </w:p>
    <w:p w14:paraId="15A8AAF6"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4. Las </w:t>
      </w:r>
      <w:r w:rsidRPr="006A728D">
        <w:rPr>
          <w:rFonts w:ascii="Segoe UI" w:eastAsia="Times New Roman" w:hAnsi="Segoe UI" w:cs="Segoe UI"/>
          <w:i/>
          <w:iCs/>
          <w:color w:val="212529"/>
          <w:szCs w:val="24"/>
          <w:u w:val="single"/>
          <w:lang w:eastAsia="es-CO"/>
        </w:rPr>
        <w:t>Juntas de acción comunal</w:t>
      </w:r>
      <w:r w:rsidRPr="006A728D">
        <w:rPr>
          <w:rFonts w:ascii="Segoe UI" w:eastAsia="Times New Roman" w:hAnsi="Segoe UI" w:cs="Segoe UI"/>
          <w:i/>
          <w:iCs/>
          <w:color w:val="212529"/>
          <w:szCs w:val="24"/>
          <w:lang w:eastAsia="es-CO"/>
        </w:rPr>
        <w:t> y las </w:t>
      </w:r>
      <w:r w:rsidRPr="006A728D">
        <w:rPr>
          <w:rFonts w:ascii="Segoe UI" w:eastAsia="Times New Roman" w:hAnsi="Segoe UI" w:cs="Segoe UI"/>
          <w:i/>
          <w:iCs/>
          <w:color w:val="212529"/>
          <w:szCs w:val="24"/>
          <w:u w:val="single"/>
          <w:lang w:eastAsia="es-CO"/>
        </w:rPr>
        <w:t>Juntas administradoras locales,</w:t>
      </w:r>
      <w:r w:rsidRPr="006A728D">
        <w:rPr>
          <w:rFonts w:ascii="Segoe UI" w:eastAsia="Times New Roman" w:hAnsi="Segoe UI" w:cs="Segoe UI"/>
          <w:i/>
          <w:iCs/>
          <w:color w:val="212529"/>
          <w:szCs w:val="24"/>
          <w:lang w:eastAsia="es-CO"/>
        </w:rPr>
        <w:t> ¿deben atender el Registro de Beneficiarios finales?”</w:t>
      </w:r>
      <w:r w:rsidRPr="006A728D">
        <w:rPr>
          <w:rFonts w:ascii="Segoe UI" w:eastAsia="Times New Roman" w:hAnsi="Segoe UI" w:cs="Segoe UI"/>
          <w:color w:val="212529"/>
          <w:szCs w:val="24"/>
          <w:lang w:eastAsia="es-CO"/>
        </w:rPr>
        <w:t> (subrayado fuera de texto)</w:t>
      </w:r>
    </w:p>
    <w:p w14:paraId="02B361D5"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Sobre el particular, las consideraciones de este Despacho son las siguientes:</w:t>
      </w:r>
    </w:p>
    <w:p w14:paraId="36BCE047"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El artículo 6 de la Resolución No. 000164 de 2021 establece los criterios para la determinación del beneficiario final de las personas jurídicas, de los cuales se destaca lo siguiente:</w:t>
      </w:r>
    </w:p>
    <w:p w14:paraId="06F4CA9B"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r w:rsidRPr="006A728D">
        <w:rPr>
          <w:rFonts w:ascii="Segoe UI" w:eastAsia="Times New Roman" w:hAnsi="Segoe UI" w:cs="Segoe UI"/>
          <w:b/>
          <w:bCs/>
          <w:i/>
          <w:iCs/>
          <w:color w:val="212529"/>
          <w:szCs w:val="24"/>
          <w:lang w:eastAsia="es-CO"/>
        </w:rPr>
        <w:t>ARTÍCULO 6o. CRITERIOS PARA LA DETERMINACIÓN DEL BENEFICIARIO FINAL DE LAS PERSONAS JURÍDICAS</w:t>
      </w:r>
      <w:r w:rsidRPr="006A728D">
        <w:rPr>
          <w:rFonts w:ascii="Segoe UI" w:eastAsia="Times New Roman" w:hAnsi="Segoe UI" w:cs="Segoe UI"/>
          <w:i/>
          <w:iCs/>
          <w:color w:val="212529"/>
          <w:szCs w:val="24"/>
          <w:lang w:eastAsia="es-CO"/>
        </w:rPr>
        <w:t>. De acuerdo con la definición establecida en el literal a) del </w:t>
      </w:r>
      <w:r w:rsidRPr="006A728D">
        <w:rPr>
          <w:rFonts w:ascii="Segoe UI" w:eastAsia="Times New Roman" w:hAnsi="Segoe UI" w:cs="Segoe UI"/>
          <w:i/>
          <w:iCs/>
          <w:color w:val="212529"/>
          <w:szCs w:val="24"/>
          <w:u w:val="single"/>
          <w:lang w:eastAsia="es-CO"/>
        </w:rPr>
        <w:t>artículo 631-5</w:t>
      </w:r>
      <w:r w:rsidRPr="006A728D">
        <w:rPr>
          <w:rFonts w:ascii="Segoe UI" w:eastAsia="Times New Roman" w:hAnsi="Segoe UI" w:cs="Segoe UI"/>
          <w:i/>
          <w:iCs/>
          <w:color w:val="212529"/>
          <w:szCs w:val="24"/>
          <w:lang w:eastAsia="es-CO"/>
        </w:rPr>
        <w:t> del Estatuto Tributario, son beneficiarios finales de las personas jurídicas:</w:t>
      </w:r>
    </w:p>
    <w:p w14:paraId="780D595F"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1. La persona natural que, actuando individual o conjuntamente, sea </w:t>
      </w:r>
      <w:r w:rsidRPr="006A728D">
        <w:rPr>
          <w:rFonts w:ascii="Segoe UI" w:eastAsia="Times New Roman" w:hAnsi="Segoe UI" w:cs="Segoe UI"/>
          <w:i/>
          <w:iCs/>
          <w:color w:val="212529"/>
          <w:szCs w:val="24"/>
          <w:u w:val="single"/>
          <w:lang w:eastAsia="es-CO"/>
        </w:rPr>
        <w:t>titular, directa o indirectamente, del cinco por ciento (5%) o más del capital o de los derechos de voto de la persona jurídica, y/o se beneficie en cinco por ciento (5%) o más de los activos, rendimientos o utilidades</w:t>
      </w:r>
      <w:r w:rsidRPr="006A728D">
        <w:rPr>
          <w:rFonts w:ascii="Segoe UI" w:eastAsia="Times New Roman" w:hAnsi="Segoe UI" w:cs="Segoe UI"/>
          <w:i/>
          <w:iCs/>
          <w:color w:val="212529"/>
          <w:szCs w:val="24"/>
          <w:lang w:eastAsia="es-CO"/>
        </w:rPr>
        <w:t> de la persona jurídica; (…)</w:t>
      </w:r>
    </w:p>
    <w:p w14:paraId="332A9324"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r w:rsidRPr="006A728D">
        <w:rPr>
          <w:rFonts w:ascii="Segoe UI" w:eastAsia="Times New Roman" w:hAnsi="Segoe UI" w:cs="Segoe UI"/>
          <w:color w:val="212529"/>
          <w:szCs w:val="24"/>
          <w:lang w:eastAsia="es-CO"/>
        </w:rPr>
        <w:t> (subrayado fuera de texto)</w:t>
      </w:r>
    </w:p>
    <w:p w14:paraId="035B88D9"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Lo anterior implica que, en lo atinente a los dos primeros interrogantes, tanto los nudos propietarios (titulares del capital) como los usufructuarios (beneficiarios de los activos, rendimientos o utilidades) deberán ser reportados como beneficiarios finales de la persona jurídica.</w:t>
      </w:r>
    </w:p>
    <w:p w14:paraId="699DAC38"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En efecto, es de recordar que:</w:t>
      </w:r>
    </w:p>
    <w:p w14:paraId="60E4D3CE" w14:textId="77777777" w:rsidR="006A728D" w:rsidRPr="006A728D" w:rsidRDefault="006A728D" w:rsidP="006A728D">
      <w:pPr>
        <w:numPr>
          <w:ilvl w:val="0"/>
          <w:numId w:val="1"/>
        </w:numPr>
        <w:shd w:val="clear" w:color="auto" w:fill="FFFFFF"/>
        <w:spacing w:before="100" w:beforeAutospacing="1"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“La </w:t>
      </w:r>
      <w:r w:rsidRPr="006A728D">
        <w:rPr>
          <w:rFonts w:ascii="Segoe UI" w:eastAsia="Times New Roman" w:hAnsi="Segoe UI" w:cs="Segoe UI"/>
          <w:i/>
          <w:iCs/>
          <w:color w:val="212529"/>
          <w:szCs w:val="24"/>
          <w:u w:val="single"/>
          <w:lang w:eastAsia="es-CO"/>
        </w:rPr>
        <w:t>propiedad separada del goce</w:t>
      </w:r>
      <w:r w:rsidRPr="006A728D">
        <w:rPr>
          <w:rFonts w:ascii="Segoe UI" w:eastAsia="Times New Roman" w:hAnsi="Segoe UI" w:cs="Segoe UI"/>
          <w:i/>
          <w:iCs/>
          <w:color w:val="212529"/>
          <w:szCs w:val="24"/>
          <w:lang w:eastAsia="es-CO"/>
        </w:rPr>
        <w:t> de la cosa se llama mera o nuda propiedad”</w:t>
      </w:r>
      <w:r w:rsidRPr="006A728D">
        <w:rPr>
          <w:rFonts w:ascii="Segoe UI" w:eastAsia="Times New Roman" w:hAnsi="Segoe UI" w:cs="Segoe UI"/>
          <w:color w:val="212529"/>
          <w:szCs w:val="24"/>
          <w:lang w:eastAsia="es-CO"/>
        </w:rPr>
        <w:t> (subrayado fuera de texto) (cfr. artículo 669 del Código Civil).</w:t>
      </w:r>
    </w:p>
    <w:p w14:paraId="459E8284" w14:textId="77777777" w:rsidR="006A728D" w:rsidRPr="006A728D" w:rsidRDefault="006A728D" w:rsidP="006A728D">
      <w:pPr>
        <w:numPr>
          <w:ilvl w:val="0"/>
          <w:numId w:val="2"/>
        </w:numPr>
        <w:shd w:val="clear" w:color="auto" w:fill="FFFFFF"/>
        <w:spacing w:before="100" w:beforeAutospacing="1"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“El derecho de usufructo es un derecho real que consiste en la facultad de </w:t>
      </w:r>
      <w:r w:rsidRPr="006A728D">
        <w:rPr>
          <w:rFonts w:ascii="Segoe UI" w:eastAsia="Times New Roman" w:hAnsi="Segoe UI" w:cs="Segoe UI"/>
          <w:i/>
          <w:iCs/>
          <w:color w:val="212529"/>
          <w:szCs w:val="24"/>
          <w:u w:val="single"/>
          <w:lang w:eastAsia="es-CO"/>
        </w:rPr>
        <w:t>gozar de una cosa</w:t>
      </w:r>
      <w:r w:rsidRPr="006A728D">
        <w:rPr>
          <w:rFonts w:ascii="Segoe UI" w:eastAsia="Times New Roman" w:hAnsi="Segoe UI" w:cs="Segoe UI"/>
          <w:i/>
          <w:iCs/>
          <w:color w:val="212529"/>
          <w:szCs w:val="24"/>
          <w:lang w:eastAsia="es-CO"/>
        </w:rPr>
        <w:t> con cargo de conservar su forma y sustancia, y de restituir a su dueño”</w:t>
      </w:r>
      <w:r w:rsidRPr="006A728D">
        <w:rPr>
          <w:rFonts w:ascii="Segoe UI" w:eastAsia="Times New Roman" w:hAnsi="Segoe UI" w:cs="Segoe UI"/>
          <w:color w:val="212529"/>
          <w:szCs w:val="24"/>
          <w:lang w:eastAsia="es-CO"/>
        </w:rPr>
        <w:t> (subrayado fuera de texto) (cfr. artículo 823 del Código Civil).</w:t>
      </w:r>
    </w:p>
    <w:p w14:paraId="6D01E561" w14:textId="77777777" w:rsidR="006A728D" w:rsidRPr="006A728D" w:rsidRDefault="006A728D" w:rsidP="006A728D">
      <w:pPr>
        <w:numPr>
          <w:ilvl w:val="0"/>
          <w:numId w:val="3"/>
        </w:numPr>
        <w:shd w:val="clear" w:color="auto" w:fill="FFFFFF"/>
        <w:spacing w:before="100" w:beforeAutospacing="1"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“Salvo estipulación expresa en contrario, el usufructo </w:t>
      </w:r>
      <w:r w:rsidRPr="006A728D">
        <w:rPr>
          <w:rFonts w:ascii="Segoe UI" w:eastAsia="Times New Roman" w:hAnsi="Segoe UI" w:cs="Segoe UI"/>
          <w:i/>
          <w:iCs/>
          <w:color w:val="212529"/>
          <w:szCs w:val="24"/>
          <w:u w:val="single"/>
          <w:lang w:eastAsia="es-CO"/>
        </w:rPr>
        <w:t>conferirá todos los derechos inherentes a la calidad de accionista,</w:t>
      </w:r>
      <w:r w:rsidRPr="006A728D">
        <w:rPr>
          <w:rFonts w:ascii="Segoe UI" w:eastAsia="Times New Roman" w:hAnsi="Segoe UI" w:cs="Segoe UI"/>
          <w:i/>
          <w:iCs/>
          <w:color w:val="212529"/>
          <w:szCs w:val="24"/>
          <w:lang w:eastAsia="es-CO"/>
        </w:rPr>
        <w:t xml:space="preserve"> excepto el de enajenarlas o gravarlas y el de su </w:t>
      </w:r>
      <w:r w:rsidRPr="006A728D">
        <w:rPr>
          <w:rFonts w:ascii="Segoe UI" w:eastAsia="Times New Roman" w:hAnsi="Segoe UI" w:cs="Segoe UI"/>
          <w:i/>
          <w:iCs/>
          <w:color w:val="212529"/>
          <w:szCs w:val="24"/>
          <w:lang w:eastAsia="es-CO"/>
        </w:rPr>
        <w:lastRenderedPageBreak/>
        <w:t>reembolso al tiempo de la liquidación”</w:t>
      </w:r>
      <w:r w:rsidRPr="006A728D">
        <w:rPr>
          <w:rFonts w:ascii="Segoe UI" w:eastAsia="Times New Roman" w:hAnsi="Segoe UI" w:cs="Segoe UI"/>
          <w:color w:val="212529"/>
          <w:szCs w:val="24"/>
          <w:lang w:eastAsia="es-CO"/>
        </w:rPr>
        <w:t> (subrayado fuera de texto) (cfr. artículo 412 del Código de Comercio)</w:t>
      </w:r>
      <w:r w:rsidRPr="006A728D">
        <w:rPr>
          <w:rFonts w:ascii="Segoe UI" w:eastAsia="Times New Roman" w:hAnsi="Segoe UI" w:cs="Segoe UI"/>
          <w:i/>
          <w:iCs/>
          <w:color w:val="212529"/>
          <w:szCs w:val="24"/>
          <w:lang w:eastAsia="es-CO"/>
        </w:rPr>
        <w:t>.</w:t>
      </w:r>
    </w:p>
    <w:p w14:paraId="7CC9BBDC"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Ahora bien, respecto a su tercera inquietud, se pone de presente que, de conformidad con el artículo 4 de la citada Resolución No. 000164, todas las sociedades nacionales (sin importar su tipo societario) se encuentran obligadas a suministrar información en el RUB. Asimismo, sin perjuicio de que las sociedades cuenten con diversas tipologías de órganos de dirección (</w:t>
      </w:r>
      <w:proofErr w:type="spellStart"/>
      <w:r w:rsidRPr="006A728D">
        <w:rPr>
          <w:rFonts w:ascii="Segoe UI" w:eastAsia="Times New Roman" w:hAnsi="Segoe UI" w:cs="Segoe UI"/>
          <w:color w:val="212529"/>
          <w:szCs w:val="24"/>
          <w:lang w:eastAsia="es-CO"/>
        </w:rPr>
        <w:t>e.g</w:t>
      </w:r>
      <w:proofErr w:type="spellEnd"/>
      <w:r w:rsidRPr="006A728D">
        <w:rPr>
          <w:rFonts w:ascii="Segoe UI" w:eastAsia="Times New Roman" w:hAnsi="Segoe UI" w:cs="Segoe UI"/>
          <w:color w:val="212529"/>
          <w:szCs w:val="24"/>
          <w:lang w:eastAsia="es-CO"/>
        </w:rPr>
        <w:t>. consejos de familia) se deberán observar los criterios establecidos en el artículo 6 </w:t>
      </w:r>
      <w:r w:rsidRPr="006A728D">
        <w:rPr>
          <w:rFonts w:ascii="Segoe UI" w:eastAsia="Times New Roman" w:hAnsi="Segoe UI" w:cs="Segoe UI"/>
          <w:i/>
          <w:iCs/>
          <w:color w:val="212529"/>
          <w:szCs w:val="24"/>
          <w:lang w:eastAsia="es-CO"/>
        </w:rPr>
        <w:t>ibidem</w:t>
      </w:r>
      <w:r w:rsidRPr="006A728D">
        <w:rPr>
          <w:rFonts w:ascii="Segoe UI" w:eastAsia="Times New Roman" w:hAnsi="Segoe UI" w:cs="Segoe UI"/>
          <w:color w:val="212529"/>
          <w:szCs w:val="24"/>
          <w:lang w:eastAsia="es-CO"/>
        </w:rPr>
        <w:t> para determinar sus beneficiarios finales, los cuales serán </w:t>
      </w:r>
      <w:r w:rsidRPr="006A728D">
        <w:rPr>
          <w:rFonts w:ascii="Segoe UI" w:eastAsia="Times New Roman" w:hAnsi="Segoe UI" w:cs="Segoe UI"/>
          <w:color w:val="212529"/>
          <w:szCs w:val="24"/>
          <w:u w:val="single"/>
          <w:lang w:eastAsia="es-CO"/>
        </w:rPr>
        <w:t>aplicables desde el punto de vista de la sociedad obligada al reporte</w:t>
      </w:r>
      <w:r w:rsidRPr="006A728D">
        <w:rPr>
          <w:rFonts w:ascii="Segoe UI" w:eastAsia="Times New Roman" w:hAnsi="Segoe UI" w:cs="Segoe UI"/>
          <w:color w:val="212529"/>
          <w:szCs w:val="24"/>
          <w:lang w:eastAsia="es-CO"/>
        </w:rPr>
        <w:t>.</w:t>
      </w:r>
    </w:p>
    <w:p w14:paraId="6238F06A"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Finalmente, en torno a la obligación de suministrar información en el RUB por parte de las juntas de acción comunal, es importante traer a colación la Ley 2166 de 2021, la cual señala:</w:t>
      </w:r>
    </w:p>
    <w:p w14:paraId="3D6BF856"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r w:rsidRPr="006A728D">
        <w:rPr>
          <w:rFonts w:ascii="Segoe UI" w:eastAsia="Times New Roman" w:hAnsi="Segoe UI" w:cs="Segoe UI"/>
          <w:b/>
          <w:bCs/>
          <w:i/>
          <w:iCs/>
          <w:color w:val="212529"/>
          <w:szCs w:val="24"/>
          <w:lang w:eastAsia="es-CO"/>
        </w:rPr>
        <w:t>ARTÍCULO 5.</w:t>
      </w:r>
      <w:r w:rsidRPr="006A728D">
        <w:rPr>
          <w:rFonts w:ascii="Segoe UI" w:eastAsia="Times New Roman" w:hAnsi="Segoe UI" w:cs="Segoe UI"/>
          <w:i/>
          <w:iCs/>
          <w:color w:val="212529"/>
          <w:szCs w:val="24"/>
          <w:lang w:eastAsia="es-CO"/>
        </w:rPr>
        <w:t> Definición de acción comunal. Para efectos de esta Ley se entenderá como acción comunal </w:t>
      </w:r>
      <w:r w:rsidRPr="006A728D">
        <w:rPr>
          <w:rFonts w:ascii="Segoe UI" w:eastAsia="Times New Roman" w:hAnsi="Segoe UI" w:cs="Segoe UI"/>
          <w:i/>
          <w:iCs/>
          <w:color w:val="212529"/>
          <w:szCs w:val="24"/>
          <w:u w:val="single"/>
          <w:lang w:eastAsia="es-CO"/>
        </w:rPr>
        <w:t>la expresión social organizada, autónoma, multiétnica, multicultural, solidaria, defensora de los Derechos Humanos, la comunidad, el medio ambiente y la sociedad civil,</w:t>
      </w:r>
      <w:r w:rsidRPr="006A728D">
        <w:rPr>
          <w:rFonts w:ascii="Segoe UI" w:eastAsia="Times New Roman" w:hAnsi="Segoe UI" w:cs="Segoe UI"/>
          <w:i/>
          <w:iCs/>
          <w:color w:val="212529"/>
          <w:szCs w:val="24"/>
          <w:lang w:eastAsia="es-CO"/>
        </w:rPr>
        <w:t> cuyo propósito es promover la convivencia pacífica, la reconciliación y la construcción de paz, así como el desarrollo integral, sostenible y sustentable de la comunidad, a partir del ejercicio de la democracia participativa.</w:t>
      </w:r>
    </w:p>
    <w:p w14:paraId="7222CF4F"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p>
    <w:p w14:paraId="3C780242"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 </w:t>
      </w:r>
    </w:p>
    <w:p w14:paraId="62FB81DB"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b/>
          <w:bCs/>
          <w:i/>
          <w:iCs/>
          <w:color w:val="212529"/>
          <w:szCs w:val="24"/>
          <w:lang w:eastAsia="es-CO"/>
        </w:rPr>
        <w:t>ARTÍCULO 7.</w:t>
      </w:r>
      <w:r w:rsidRPr="006A728D">
        <w:rPr>
          <w:rFonts w:ascii="Segoe UI" w:eastAsia="Times New Roman" w:hAnsi="Segoe UI" w:cs="Segoe UI"/>
          <w:i/>
          <w:iCs/>
          <w:color w:val="212529"/>
          <w:szCs w:val="24"/>
          <w:lang w:eastAsia="es-CO"/>
        </w:rPr>
        <w:t> Organismos de la acción comunal.</w:t>
      </w:r>
    </w:p>
    <w:p w14:paraId="65B18D44"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a) Son organismos de acción comunal de primer grado las juntas de acción comunal y las juntas de vivienda comunal. La junta de acción comunal es una organización cívica, social y comunitaria de gestión social, </w:t>
      </w:r>
      <w:r w:rsidRPr="006A728D">
        <w:rPr>
          <w:rFonts w:ascii="Segoe UI" w:eastAsia="Times New Roman" w:hAnsi="Segoe UI" w:cs="Segoe UI"/>
          <w:i/>
          <w:iCs/>
          <w:color w:val="212529"/>
          <w:szCs w:val="24"/>
          <w:u w:val="single"/>
          <w:lang w:eastAsia="es-CO"/>
        </w:rPr>
        <w:t>sin ánimo de lucro,</w:t>
      </w:r>
      <w:r w:rsidRPr="006A728D">
        <w:rPr>
          <w:rFonts w:ascii="Segoe UI" w:eastAsia="Times New Roman" w:hAnsi="Segoe UI" w:cs="Segoe UI"/>
          <w:i/>
          <w:iCs/>
          <w:color w:val="212529"/>
          <w:szCs w:val="24"/>
          <w:lang w:eastAsia="es-CO"/>
        </w:rPr>
        <w:t> de naturaleza solidaria, </w:t>
      </w:r>
      <w:r w:rsidRPr="006A728D">
        <w:rPr>
          <w:rFonts w:ascii="Segoe UI" w:eastAsia="Times New Roman" w:hAnsi="Segoe UI" w:cs="Segoe UI"/>
          <w:i/>
          <w:iCs/>
          <w:color w:val="212529"/>
          <w:szCs w:val="24"/>
          <w:u w:val="single"/>
          <w:lang w:eastAsia="es-CO"/>
        </w:rPr>
        <w:t>con personería jurídica y patrimonio propio,</w:t>
      </w:r>
      <w:r w:rsidRPr="006A728D">
        <w:rPr>
          <w:rFonts w:ascii="Segoe UI" w:eastAsia="Times New Roman" w:hAnsi="Segoe UI" w:cs="Segoe UI"/>
          <w:i/>
          <w:iCs/>
          <w:color w:val="212529"/>
          <w:szCs w:val="24"/>
          <w:lang w:eastAsia="es-CO"/>
        </w:rPr>
        <w:t> integrada voluntariamente por los residentes de un lugar que aúnan esfuerzos y recursos para procurar un desarrollo integral, sostenible y sustentable con fundamento en el ejercicio de la democracia participativa;</w:t>
      </w:r>
    </w:p>
    <w:p w14:paraId="67855A51"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r w:rsidRPr="006A728D">
        <w:rPr>
          <w:rFonts w:ascii="Segoe UI" w:eastAsia="Times New Roman" w:hAnsi="Segoe UI" w:cs="Segoe UI"/>
          <w:color w:val="212529"/>
          <w:szCs w:val="24"/>
          <w:lang w:eastAsia="es-CO"/>
        </w:rPr>
        <w:t> (subrayado fuera de texto)</w:t>
      </w:r>
    </w:p>
    <w:p w14:paraId="01E6D5DB"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lastRenderedPageBreak/>
        <w:t>De modo que, siendo las juntas de acción comunal personas jurídicas sin ánimo de lucro, es de reiterar lo expresado en el Oficio No. 906998 – interno 1197 del 19 de septiembre de 2022:</w:t>
      </w:r>
    </w:p>
    <w:p w14:paraId="0FA6F2C7"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 respecto a las entidades sin ánimo de lucro, toda vez que se encuentran obligadas a suministrar información en el RUB de conformidad con lo dispuesto en el numeral 1 del artículo 4 de la Resolución DIAN No. 000164 de 2021, para dichos efectos, deberá darse aplicación a los criterios establecidos en el artículo 6 de la Resolución DIAN No. 000164 de 2021 (…)</w:t>
      </w:r>
    </w:p>
    <w:p w14:paraId="12BC62F6"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w:t>
      </w:r>
    </w:p>
    <w:p w14:paraId="602D375B"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i/>
          <w:iCs/>
          <w:color w:val="212529"/>
          <w:szCs w:val="24"/>
          <w:lang w:eastAsia="es-CO"/>
        </w:rPr>
        <w:t xml:space="preserve">Así, en caso de no identificarse beneficiarios finales bajo los criterios de titularidad, beneficio y/o </w:t>
      </w:r>
      <w:proofErr w:type="gramStart"/>
      <w:r w:rsidRPr="006A728D">
        <w:rPr>
          <w:rFonts w:ascii="Segoe UI" w:eastAsia="Times New Roman" w:hAnsi="Segoe UI" w:cs="Segoe UI"/>
          <w:i/>
          <w:iCs/>
          <w:color w:val="212529"/>
          <w:szCs w:val="24"/>
          <w:lang w:eastAsia="es-CO"/>
        </w:rPr>
        <w:t>control establecidos</w:t>
      </w:r>
      <w:proofErr w:type="gramEnd"/>
      <w:r w:rsidRPr="006A728D">
        <w:rPr>
          <w:rFonts w:ascii="Segoe UI" w:eastAsia="Times New Roman" w:hAnsi="Segoe UI" w:cs="Segoe UI"/>
          <w:i/>
          <w:iCs/>
          <w:color w:val="212529"/>
          <w:szCs w:val="24"/>
          <w:lang w:eastAsia="es-CO"/>
        </w:rPr>
        <w:t xml:space="preserve"> en los numerales 1 y 2 del artículo 6 arriba citado (por la misma naturaleza de la entidad), </w:t>
      </w:r>
      <w:r w:rsidRPr="006A728D">
        <w:rPr>
          <w:rFonts w:ascii="Segoe UI" w:eastAsia="Times New Roman" w:hAnsi="Segoe UI" w:cs="Segoe UI"/>
          <w:i/>
          <w:iCs/>
          <w:color w:val="212529"/>
          <w:szCs w:val="24"/>
          <w:u w:val="single"/>
          <w:lang w:eastAsia="es-CO"/>
        </w:rPr>
        <w:t>deberá reportarse como beneficiario final a la persona natural que ostente el cargo de representante legal o la persona natural que ostente una mayor autoridad en relación con las funciones de gestión o dirección</w:t>
      </w:r>
      <w:r w:rsidRPr="006A728D">
        <w:rPr>
          <w:rFonts w:ascii="Segoe UI" w:eastAsia="Times New Roman" w:hAnsi="Segoe UI" w:cs="Segoe UI"/>
          <w:i/>
          <w:iCs/>
          <w:color w:val="212529"/>
          <w:szCs w:val="24"/>
          <w:lang w:eastAsia="es-CO"/>
        </w:rPr>
        <w:t> de la entidad sin ánimo de lucro, según sea el caso.”</w:t>
      </w:r>
      <w:r w:rsidRPr="006A728D">
        <w:rPr>
          <w:rFonts w:ascii="Segoe UI" w:eastAsia="Times New Roman" w:hAnsi="Segoe UI" w:cs="Segoe UI"/>
          <w:color w:val="212529"/>
          <w:szCs w:val="24"/>
          <w:lang w:eastAsia="es-CO"/>
        </w:rPr>
        <w:t> (subrayado fuera de texto)</w:t>
      </w:r>
    </w:p>
    <w:p w14:paraId="41B17C8B"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En el caso de las juntas administradoras locales, es importante tener en cuenta que, teniendo en cuenta su naturaleza, así como las disposiciones constitucionales que les son aplicables, el H. Consejo de Estado indicó que las mismas corresponden a </w:t>
      </w:r>
      <w:r w:rsidRPr="006A728D">
        <w:rPr>
          <w:rFonts w:ascii="Segoe UI" w:eastAsia="Times New Roman" w:hAnsi="Segoe UI" w:cs="Segoe UI"/>
          <w:i/>
          <w:iCs/>
          <w:color w:val="212529"/>
          <w:szCs w:val="24"/>
          <w:lang w:eastAsia="es-CO"/>
        </w:rPr>
        <w:t>“corporaciones públicas, </w:t>
      </w:r>
      <w:r w:rsidRPr="006A728D">
        <w:rPr>
          <w:rFonts w:ascii="Segoe UI" w:eastAsia="Times New Roman" w:hAnsi="Segoe UI" w:cs="Segoe UI"/>
          <w:i/>
          <w:iCs/>
          <w:color w:val="212529"/>
          <w:szCs w:val="24"/>
          <w:u w:val="single"/>
          <w:lang w:eastAsia="es-CO"/>
        </w:rPr>
        <w:t>cuerpos de representación</w:t>
      </w:r>
      <w:r w:rsidRPr="006A728D">
        <w:rPr>
          <w:rFonts w:ascii="Segoe UI" w:eastAsia="Times New Roman" w:hAnsi="Segoe UI" w:cs="Segoe UI"/>
          <w:i/>
          <w:iCs/>
          <w:color w:val="212529"/>
          <w:szCs w:val="24"/>
          <w:lang w:eastAsia="es-CO"/>
        </w:rPr>
        <w:t> elegidos por el pueblo, que participan en la elaboración de planes y programas, de propuestas de inversión, que tienen funciones de vigilancia y control de la gestión pública, etc., y hacen parte de la administración municipal o distrital”</w:t>
      </w:r>
      <w:r w:rsidRPr="006A728D">
        <w:rPr>
          <w:rFonts w:ascii="Segoe UI" w:eastAsia="Times New Roman" w:hAnsi="Segoe UI" w:cs="Segoe UI"/>
          <w:color w:val="212529"/>
          <w:szCs w:val="24"/>
          <w:lang w:eastAsia="es-CO"/>
        </w:rPr>
        <w:t> (subrayado fuera de texto) (cfr. Concepto de la Sala de Consulta y Servicio Civil, C.P. FLAVIO AUGUSTO RODRÍGUEZ ARCE, del 5 de julio de 2001, Rad. No. 1359).</w:t>
      </w:r>
    </w:p>
    <w:p w14:paraId="5103BC35"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Por ende, al no corresponder a personas jurídicas ni a estructuras sin personería jurídica o similares (en los términos del literal b) del </w:t>
      </w:r>
      <w:r w:rsidRPr="006A728D">
        <w:rPr>
          <w:rFonts w:ascii="Segoe UI" w:eastAsia="Times New Roman" w:hAnsi="Segoe UI" w:cs="Segoe UI"/>
          <w:color w:val="212529"/>
          <w:szCs w:val="24"/>
          <w:u w:val="single"/>
          <w:lang w:eastAsia="es-CO"/>
        </w:rPr>
        <w:t>artículo 631-5</w:t>
      </w:r>
      <w:r w:rsidRPr="006A728D">
        <w:rPr>
          <w:rFonts w:ascii="Segoe UI" w:eastAsia="Times New Roman" w:hAnsi="Segoe UI" w:cs="Segoe UI"/>
          <w:color w:val="212529"/>
          <w:szCs w:val="24"/>
          <w:lang w:eastAsia="es-CO"/>
        </w:rPr>
        <w:t> del Estatuto Tributario), es de colegir que dichos cuerpos de representación no se encuentran enmarcados dentro de los sujetos obligados a suministrar información en el RUB.</w:t>
      </w:r>
    </w:p>
    <w:p w14:paraId="4428E459" w14:textId="37AE3A70"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 Atentamente,</w:t>
      </w:r>
    </w:p>
    <w:p w14:paraId="6FCD1122"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b/>
          <w:bCs/>
          <w:color w:val="212529"/>
          <w:szCs w:val="24"/>
          <w:lang w:eastAsia="es-CO"/>
        </w:rPr>
        <w:t>ALFREDO RAMÍREZ CASTAÑEDA</w:t>
      </w:r>
    </w:p>
    <w:p w14:paraId="29172749"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lastRenderedPageBreak/>
        <w:t>Subdirector de Normativa y Doctrina (E)</w:t>
      </w:r>
    </w:p>
    <w:p w14:paraId="784ADE94"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Dirección de Gestión Jurídica</w:t>
      </w:r>
    </w:p>
    <w:p w14:paraId="6B49C368" w14:textId="77777777" w:rsidR="006A728D" w:rsidRPr="006A728D" w:rsidRDefault="006A728D" w:rsidP="006A728D">
      <w:pPr>
        <w:shd w:val="clear" w:color="auto" w:fill="FFFFFF"/>
        <w:spacing w:after="100" w:afterAutospacing="1" w:line="360" w:lineRule="auto"/>
        <w:jc w:val="both"/>
        <w:rPr>
          <w:rFonts w:ascii="Segoe UI" w:eastAsia="Times New Roman" w:hAnsi="Segoe UI" w:cs="Segoe UI"/>
          <w:color w:val="212529"/>
          <w:szCs w:val="24"/>
          <w:lang w:eastAsia="es-CO"/>
        </w:rPr>
      </w:pPr>
      <w:r w:rsidRPr="006A728D">
        <w:rPr>
          <w:rFonts w:ascii="Segoe UI" w:eastAsia="Times New Roman" w:hAnsi="Segoe UI" w:cs="Segoe UI"/>
          <w:color w:val="212529"/>
          <w:szCs w:val="24"/>
          <w:lang w:eastAsia="es-CO"/>
        </w:rPr>
        <w:t>UAE-Dirección de Impuestos y Aduanas Nacionales</w:t>
      </w:r>
    </w:p>
    <w:sectPr w:rsidR="006A728D" w:rsidRPr="006A728D"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D76"/>
    <w:multiLevelType w:val="multilevel"/>
    <w:tmpl w:val="24BC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823187">
    <w:abstractNumId w:val="0"/>
    <w:lvlOverride w:ilvl="0">
      <w:startOverride w:val="1"/>
    </w:lvlOverride>
  </w:num>
  <w:num w:numId="2" w16cid:durableId="250823187">
    <w:abstractNumId w:val="0"/>
    <w:lvlOverride w:ilvl="0">
      <w:startOverride w:val="2"/>
    </w:lvlOverride>
  </w:num>
  <w:num w:numId="3" w16cid:durableId="250823187">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8D"/>
    <w:rsid w:val="000F3837"/>
    <w:rsid w:val="001E311E"/>
    <w:rsid w:val="00434AE6"/>
    <w:rsid w:val="006A728D"/>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A10F"/>
  <w15:chartTrackingRefBased/>
  <w15:docId w15:val="{29DB6405-E8E5-4042-9705-9072647B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89279">
      <w:bodyDiv w:val="1"/>
      <w:marLeft w:val="0"/>
      <w:marRight w:val="0"/>
      <w:marTop w:val="0"/>
      <w:marBottom w:val="0"/>
      <w:divBdr>
        <w:top w:val="none" w:sz="0" w:space="0" w:color="auto"/>
        <w:left w:val="none" w:sz="0" w:space="0" w:color="auto"/>
        <w:bottom w:val="none" w:sz="0" w:space="0" w:color="auto"/>
        <w:right w:val="none" w:sz="0" w:space="0" w:color="auto"/>
      </w:divBdr>
      <w:divsChild>
        <w:div w:id="177323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1182</Words>
  <Characters>6505</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2022-12-22T00:44:00Z</dcterms:created>
  <dcterms:modified xsi:type="dcterms:W3CDTF">2022-12-22T00:47:00Z</dcterms:modified>
</cp:coreProperties>
</file>