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08A9" w14:textId="77777777" w:rsidR="00F140FB" w:rsidRPr="00F140FB" w:rsidRDefault="00F140FB" w:rsidP="00F140FB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 xml:space="preserve">OFICIO </w:t>
      </w:r>
      <w:proofErr w:type="spellStart"/>
      <w:r w:rsidRPr="00F140FB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>Nº</w:t>
      </w:r>
      <w:proofErr w:type="spellEnd"/>
      <w:r w:rsidRPr="00F140FB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 xml:space="preserve"> 1317 [908053]</w:t>
      </w:r>
    </w:p>
    <w:p w14:paraId="32A23228" w14:textId="77777777" w:rsidR="00F140FB" w:rsidRPr="00F140FB" w:rsidRDefault="00F140FB" w:rsidP="00F140FB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>28-10-2022</w:t>
      </w:r>
    </w:p>
    <w:p w14:paraId="136AFE8D" w14:textId="77777777" w:rsidR="00F140FB" w:rsidRPr="00F140FB" w:rsidRDefault="00F140FB" w:rsidP="00F140FB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>DIAN</w:t>
      </w:r>
    </w:p>
    <w:p w14:paraId="0AB42EC8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3D73740A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1137851E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100208192-1317</w:t>
      </w:r>
    </w:p>
    <w:p w14:paraId="19FA8F71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Bogotá, D.C., 28 de octubre de 2022.</w:t>
      </w:r>
    </w:p>
    <w:p w14:paraId="3C5D96BA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6698"/>
      </w:tblGrid>
      <w:tr w:rsidR="00F140FB" w:rsidRPr="00F140FB" w14:paraId="67DCA28E" w14:textId="77777777" w:rsidTr="00F140FB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6C2BA5" w14:textId="77777777" w:rsidR="00F140FB" w:rsidRPr="00F140FB" w:rsidRDefault="00F140FB" w:rsidP="00F140FB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F140FB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Tema:</w:t>
            </w:r>
          </w:p>
        </w:tc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D33D1E" w14:textId="77777777" w:rsidR="00F140FB" w:rsidRPr="00F140FB" w:rsidRDefault="00F140FB" w:rsidP="00F140FB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F140F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Impuesto sobre la renta y complementarios</w:t>
            </w:r>
          </w:p>
        </w:tc>
      </w:tr>
      <w:tr w:rsidR="00F140FB" w:rsidRPr="00F140FB" w14:paraId="48DDC09E" w14:textId="77777777" w:rsidTr="00F140FB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5508B1" w14:textId="77777777" w:rsidR="00F140FB" w:rsidRPr="00F140FB" w:rsidRDefault="00F140FB" w:rsidP="00F140FB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F140FB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Descriptores:</w:t>
            </w:r>
          </w:p>
        </w:tc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3B1F61" w14:textId="77777777" w:rsidR="00F140FB" w:rsidRPr="00F140FB" w:rsidRDefault="00F140FB" w:rsidP="00F140FB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F140F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Rentas de fuente nacional</w:t>
            </w:r>
          </w:p>
          <w:p w14:paraId="122FA51B" w14:textId="77777777" w:rsidR="00F140FB" w:rsidRPr="00F140FB" w:rsidRDefault="00F140FB" w:rsidP="00F140FB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F140F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Obligación de presentar declaración de renta y complementarios</w:t>
            </w:r>
          </w:p>
        </w:tc>
      </w:tr>
      <w:tr w:rsidR="00F140FB" w:rsidRPr="00F140FB" w14:paraId="79D8DF9B" w14:textId="77777777" w:rsidTr="00F140FB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3355FF" w14:textId="77777777" w:rsidR="00F140FB" w:rsidRPr="00F140FB" w:rsidRDefault="00F140FB" w:rsidP="00F140FB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F140FB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Fuentes formales:</w:t>
            </w:r>
          </w:p>
        </w:tc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77075C" w14:textId="77777777" w:rsidR="00F140FB" w:rsidRPr="00F140FB" w:rsidRDefault="00F140FB" w:rsidP="00F140FB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F140F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Artículo 14 del Convenio entre la República de Colombia y los Estados Unidos Mexicanos para evitar la doble imposición y para prevenir la evasión fiscal en relación con los impuestos sobre la renta y sobre el patrimonio</w:t>
            </w:r>
          </w:p>
          <w:p w14:paraId="7B62014D" w14:textId="77777777" w:rsidR="00F140FB" w:rsidRPr="00F140FB" w:rsidRDefault="00F140FB" w:rsidP="00F140FB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F140F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Artículos </w:t>
            </w:r>
            <w:hyperlink r:id="rId4" w:tooltip="Estatuto Tributario CETA" w:history="1">
              <w:r w:rsidRPr="00F140FB">
                <w:rPr>
                  <w:rFonts w:ascii="Segoe UI" w:eastAsia="Times New Roman" w:hAnsi="Segoe UI" w:cs="Segoe UI"/>
                  <w:color w:val="0645AD"/>
                  <w:sz w:val="21"/>
                  <w:szCs w:val="21"/>
                  <w:u w:val="single"/>
                  <w:lang w:eastAsia="es-CO"/>
                </w:rPr>
                <w:t>9</w:t>
              </w:r>
            </w:hyperlink>
            <w:r w:rsidRPr="00F140F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, </w:t>
            </w:r>
            <w:hyperlink r:id="rId5" w:tooltip="Estatuto Tributario CETA" w:history="1">
              <w:r w:rsidRPr="00F140FB">
                <w:rPr>
                  <w:rFonts w:ascii="Segoe UI" w:eastAsia="Times New Roman" w:hAnsi="Segoe UI" w:cs="Segoe UI"/>
                  <w:color w:val="0645AD"/>
                  <w:sz w:val="21"/>
                  <w:szCs w:val="21"/>
                  <w:u w:val="single"/>
                  <w:lang w:eastAsia="es-CO"/>
                </w:rPr>
                <w:t>24</w:t>
              </w:r>
            </w:hyperlink>
            <w:r w:rsidRPr="00F140F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 y </w:t>
            </w:r>
            <w:hyperlink r:id="rId6" w:tooltip="Estatuto Tributario CETA" w:history="1">
              <w:r w:rsidRPr="00F140FB">
                <w:rPr>
                  <w:rFonts w:ascii="Segoe UI" w:eastAsia="Times New Roman" w:hAnsi="Segoe UI" w:cs="Segoe UI"/>
                  <w:color w:val="0645AD"/>
                  <w:sz w:val="21"/>
                  <w:szCs w:val="21"/>
                  <w:u w:val="single"/>
                  <w:lang w:eastAsia="es-CO"/>
                </w:rPr>
                <w:t>591</w:t>
              </w:r>
            </w:hyperlink>
            <w:r w:rsidRPr="00F140F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 del Estatuto Tributario.</w:t>
            </w:r>
          </w:p>
        </w:tc>
      </w:tr>
    </w:tbl>
    <w:p w14:paraId="1007283C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7D9F4110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618FF6A6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Cordial saludo,</w:t>
      </w:r>
    </w:p>
    <w:p w14:paraId="6AF6379C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02C05ECD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De conformidad con el artículo 56 del Decreto 1742 de 2020,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29018D28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3B90F13B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Mediante el radicado de la referencia, el peticionario consulta textualmente lo siguiente:</w:t>
      </w:r>
    </w:p>
    <w:p w14:paraId="428329AB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3CE258AB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“a. Las personas naturales nacionales residentes fiscales en México (no residentes fiscales en Colombia) que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ejecuten todas sus obligaciones laborales en México,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pero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que devenguen ingresos por parte del mismo empleador en Colombia a través de una filial y en México a través de la matriz ¿en cuál Estado deben tributar respecto de las rentas pagadas por la filial y la matriz?</w:t>
      </w:r>
    </w:p>
    <w:p w14:paraId="52705FE7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3C1BFB35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b. Si la respuesta a la pregunta a) es que estas personas naturales deben tributar únicamente en Colombia por sus ingresos pagados por la filial o por la matriz ¿por qué lo deben realizar?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¿cuáles ingresos se deben declarar en Colombia?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 ¿cuál tarifa de retención en la fuente sería aplicable?</w:t>
      </w:r>
    </w:p>
    <w:p w14:paraId="1880F560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2652248A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lastRenderedPageBreak/>
        <w:t>c. Si la respuesta a la pregunta a) es que estas personas naturales deben tributar únicamente en México sobre todos sus ingresos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¿en Colombia deben presentar la declaración de Impuesto Sobre la Renta considerando que son ingresos no gravados en el país?</w:t>
      </w:r>
    </w:p>
    <w:p w14:paraId="3850929B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0615214C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d. Si la respuesta c) es positiva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¿cuáles ingresos se debe incluir en la declaración de Impuesto Sobre la Renta?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 subsecuentemente ¿estos ingresos por rentas laborales se incluyen como ingresos brutos (casilla 47, formulario 110 de año gravable 2021) y luego se detraen de la base gravable como ingresos no gravados (casilla 60, formulario 110 de año gravable 2021)?”</w:t>
      </w: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(subrayado fuera de texto)</w:t>
      </w:r>
    </w:p>
    <w:p w14:paraId="73AB240B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0792A61F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Sobre el particular, las consideraciones de este Despacho son las siguientes:</w:t>
      </w:r>
    </w:p>
    <w:p w14:paraId="1FFBAAF0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14D96B18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En primera medida, es de reiterar que esta Subdirección no es competente para resolver situaciones particulares, tal y como se desprende del citado artículo 56.</w:t>
      </w:r>
    </w:p>
    <w:p w14:paraId="73EE2A25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12D3B0A6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A la par, se pone de presente que deberá analizarse cada caso concreto a la luz de las disposiciones del Convenio entre la República de Colombia y los Estados Unidos Mexicanos para evitar la doble imposición y para prevenir la evasión fiscal en relación con los impuestos sobre la renta y sobre el patrimonio (en adelante el CDI) para determinar - según sus circunstancias específicas- la calificación de la renta y, consecuentemente, su tratamiento tributario aplicable.</w:t>
      </w:r>
    </w:p>
    <w:p w14:paraId="5E2C96A9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6F9CC0BC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Precisado lo antepuesto y para efectos de lo consultado, deberá observarse, entre otras disposiciones, el artículo 14 del CDI (rentas de un empleo), el cual señala:</w:t>
      </w:r>
    </w:p>
    <w:p w14:paraId="6B9AE95A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30F701AE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1. Sin perjuicio de lo dispuesto en los artículos 15, 17 y 18, los sueldos, salarios y otras remuneraciones obtenidas por un residente de un Estado Contratante por razón de un empleo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solo pueden someterse a imposición en ese Estado, a no ser que el empleo se ejerza en el otro Estado Contratante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. Si el empleo se ejerce de esa forma, las remuneraciones derivadas del mismo pueden someterse a imposición en ese otro Estado.</w:t>
      </w:r>
    </w:p>
    <w:p w14:paraId="0F083DEA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4A3BFB58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2. No obstante las disposiciones del párrafo 1, las remuneraciones obtenidas por un residente de un Estado Contratante </w:t>
      </w:r>
      <w:proofErr w:type="gramStart"/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en razón de</w:t>
      </w:r>
      <w:proofErr w:type="gramEnd"/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 xml:space="preserve"> un empleo ejercido en el otro Estado Contratante se gravarán exclusivamente en el primer Estado si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:</w:t>
      </w:r>
    </w:p>
    <w:p w14:paraId="7A2647CA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299D1502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a) El perceptor permanece en el otro Estado durante un período o períodos cuya duración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no exceda en conjunto de 183 días en cualquier período de doce meses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que comience o termine en el año fiscal considerado;</w:t>
      </w:r>
    </w:p>
    <w:p w14:paraId="0A3BB4B0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2F8F77F0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b) Las remuneraciones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se pagan por, o en nombre de una persona empleadora que no sea residente del otro Estado;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 y</w:t>
      </w:r>
    </w:p>
    <w:p w14:paraId="2DF90E47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lastRenderedPageBreak/>
        <w:t> </w:t>
      </w:r>
    </w:p>
    <w:p w14:paraId="46A57656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c) Las remuneraciones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no se soporten por un establecimiento permanente que una persona empleadora tenga en el otro Estado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.</w:t>
      </w:r>
    </w:p>
    <w:p w14:paraId="54B99217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6E2655D1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3. No obstante las disposiciones precedentes de este artículo, las remuneraciones obtenidas por un residente de un Estado Contratante por razón de un empleo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realizado a bordo de un buque o aeronave explotado en tráfico internacional podrán someterse a imposición en ese Estado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.”</w:t>
      </w: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(subrayado fuera de texto)</w:t>
      </w:r>
    </w:p>
    <w:p w14:paraId="4FB72E7B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417F12C1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Así las cosas, ya que en el caso bajo estudio se plantea que unas personas naturales residentes fiscales en México (exclusivamente) ejercen su empleo </w:t>
      </w:r>
      <w:r w:rsidRPr="00F140FB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es-CO"/>
        </w:rPr>
        <w:t>únicamente</w:t>
      </w: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en dicho país, las rentas obtenidas con ocasión de ello solo estarán sometidas a imposición en México, teniendo en cuenta lo plasmado en el numeral 1 del artículo 14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ibidem</w:t>
      </w: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.</w:t>
      </w:r>
    </w:p>
    <w:p w14:paraId="42FF496F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56B10090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Adicionalmente, debe tenerse en cuenta el </w:t>
      </w:r>
      <w:hyperlink r:id="rId7" w:tooltip="Estatuto Tributario CETA" w:history="1">
        <w:r w:rsidRPr="00F140FB">
          <w:rPr>
            <w:rFonts w:ascii="Segoe UI" w:eastAsia="Times New Roman" w:hAnsi="Segoe UI" w:cs="Segoe UI"/>
            <w:color w:val="0645AD"/>
            <w:sz w:val="21"/>
            <w:szCs w:val="21"/>
            <w:u w:val="single"/>
            <w:lang w:eastAsia="es-CO"/>
          </w:rPr>
          <w:t>artículo 24</w:t>
        </w:r>
      </w:hyperlink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del Estatuto Tributario el cual señala, que se consideran como ingresos de fuente nacional, entre otros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“Las rentas de trabajo tales como sueldos, comisiones, honorarios, compensaciones por actividades culturales, artísticas, deportivas y similares o por la prestación de servicios por personas jurídicas,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cuando el trabajo o la actividad se desarrollen dentro del país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”</w:t>
      </w: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(subrayado fuera de texto) (cfr. numeral 5).</w:t>
      </w:r>
    </w:p>
    <w:p w14:paraId="5F6F7AF6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52CD29B9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Por lo tanto, al tratarse -en principio- de rentas de fuente extranjera obtenidas por un no residente, en virtud de los artículos </w:t>
      </w:r>
      <w:hyperlink r:id="rId8" w:tooltip="Estatuto Tributario CETA" w:history="1">
        <w:r w:rsidRPr="00F140FB">
          <w:rPr>
            <w:rFonts w:ascii="Segoe UI" w:eastAsia="Times New Roman" w:hAnsi="Segoe UI" w:cs="Segoe UI"/>
            <w:color w:val="0645AD"/>
            <w:sz w:val="21"/>
            <w:szCs w:val="21"/>
            <w:u w:val="single"/>
            <w:lang w:eastAsia="es-CO"/>
          </w:rPr>
          <w:t>9</w:t>
        </w:r>
      </w:hyperlink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y </w:t>
      </w:r>
      <w:hyperlink r:id="rId9" w:tooltip="Estatuto Tributario CETA" w:history="1">
        <w:r w:rsidRPr="00F140FB">
          <w:rPr>
            <w:rFonts w:ascii="Segoe UI" w:eastAsia="Times New Roman" w:hAnsi="Segoe UI" w:cs="Segoe UI"/>
            <w:color w:val="0645AD"/>
            <w:sz w:val="21"/>
            <w:szCs w:val="21"/>
            <w:u w:val="single"/>
            <w:lang w:eastAsia="es-CO"/>
          </w:rPr>
          <w:t>591</w:t>
        </w:r>
      </w:hyperlink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ibidem</w:t>
      </w: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no habría lugar a presentar declaración del impuesto sobre la renta y complementarios en el país.</w:t>
      </w:r>
    </w:p>
    <w:p w14:paraId="23C68FCD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13876D0A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En efecto, tales disposiciones establecen lo siguiente:</w:t>
      </w:r>
    </w:p>
    <w:p w14:paraId="4D6EC9A3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2E3A441D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“</w:t>
      </w:r>
      <w:hyperlink r:id="rId10" w:tooltip="Estatuto Tributario CETA" w:history="1">
        <w:r w:rsidRPr="00F140FB">
          <w:rPr>
            <w:rFonts w:ascii="Segoe UI" w:eastAsia="Times New Roman" w:hAnsi="Segoe UI" w:cs="Segoe UI"/>
            <w:b/>
            <w:bCs/>
            <w:i/>
            <w:iCs/>
            <w:color w:val="0645AD"/>
            <w:sz w:val="21"/>
            <w:szCs w:val="21"/>
            <w:u w:val="single"/>
            <w:lang w:eastAsia="es-CO"/>
          </w:rPr>
          <w:t>ARTÍCULO 9o</w:t>
        </w:r>
      </w:hyperlink>
      <w:r w:rsidRPr="00F140FB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CO"/>
        </w:rPr>
        <w:t>. IMPUESTO DE LAS PERSONAS NATURALES, RESIDENTES Y NO RESIDENTES. (...)</w:t>
      </w:r>
    </w:p>
    <w:p w14:paraId="0C53D478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070AC176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Las personas naturales, nacionales o extranjeras, que no tengan residencia en el país y las sucesiones ilíquidas de causantes sin residencia en el país en el momento de su muerte, sólo están sujetas al impuesto sobre la renta y complementarios respecto a sus rentas y ganancias ocasionales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de fuente nacional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 y respecto de su patrimonio poseído en el país.</w:t>
      </w:r>
    </w:p>
    <w:p w14:paraId="42AC7261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6CACDB03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(...)</w:t>
      </w:r>
    </w:p>
    <w:p w14:paraId="3E5AF1E2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41FE453E" w14:textId="77777777" w:rsidR="00F140FB" w:rsidRPr="00F140FB" w:rsidRDefault="00F140FB" w:rsidP="00F140FB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hyperlink r:id="rId11" w:tooltip="Estatuto Tributario CETA" w:history="1">
        <w:r w:rsidRPr="00F140FB">
          <w:rPr>
            <w:rFonts w:ascii="Segoe UI" w:eastAsia="Times New Roman" w:hAnsi="Segoe UI" w:cs="Segoe UI"/>
            <w:b/>
            <w:bCs/>
            <w:i/>
            <w:iCs/>
            <w:color w:val="0645AD"/>
            <w:sz w:val="21"/>
            <w:szCs w:val="21"/>
            <w:u w:val="single"/>
            <w:lang w:eastAsia="es-CO"/>
          </w:rPr>
          <w:t>ARTÍCULO 591</w:t>
        </w:r>
      </w:hyperlink>
      <w:r w:rsidRPr="00F140FB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CO"/>
        </w:rPr>
        <w:t>. QUIENES DEBEN PRESENTAR DECLARACIÓN DE RENTA Y COMPLEMENTARIOS.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 xml:space="preserve"> &lt;Fuente original compilada: D. 2503/87 Art. 2o.&gt; Están obligados a presentar declaración del impuesto sobre la renta y complementarios por el año gravable de 1987 y 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lastRenderedPageBreak/>
        <w:t>siguientes, 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todos los contribuyentes sometidos a dicho impuesto,</w:t>
      </w:r>
      <w:r w:rsidRPr="00F140F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 con excepción de los enumerados en el artículo siguiente.” </w:t>
      </w: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(subrayado fuera de texto)</w:t>
      </w:r>
    </w:p>
    <w:p w14:paraId="52B322B4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17CAEBEE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Atentamente,</w:t>
      </w:r>
    </w:p>
    <w:p w14:paraId="5EC9CFD1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7F367444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671751C2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>ALFREDO RAMÍREZ CASTAÑEDA</w:t>
      </w:r>
    </w:p>
    <w:p w14:paraId="04A85F77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Subdirector de Normativa y Doctrina (E)</w:t>
      </w:r>
    </w:p>
    <w:p w14:paraId="4A62FF7E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Dirección de Gestión Jurídica</w:t>
      </w:r>
    </w:p>
    <w:p w14:paraId="52F06581" w14:textId="77777777" w:rsidR="00F140FB" w:rsidRPr="00F140FB" w:rsidRDefault="00F140FB" w:rsidP="00F140F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F140F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UAE-Dirección de Impuestos y Aduanas Nacionales</w:t>
      </w:r>
    </w:p>
    <w:p w14:paraId="0630E039" w14:textId="77777777" w:rsidR="007F5CC8" w:rsidRDefault="007F5CC8" w:rsidP="00F140FB">
      <w:pPr>
        <w:spacing w:line="360" w:lineRule="auto"/>
      </w:pPr>
    </w:p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FB"/>
    <w:rsid w:val="000F3837"/>
    <w:rsid w:val="001E311E"/>
    <w:rsid w:val="00434AE6"/>
    <w:rsid w:val="007F5CC8"/>
    <w:rsid w:val="008779BE"/>
    <w:rsid w:val="00EB5ADB"/>
    <w:rsid w:val="00F1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10F9"/>
  <w15:chartTrackingRefBased/>
  <w15:docId w15:val="{D731A51C-A447-4582-B4B4-C0E96C21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3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729" TargetMode="External"/><Relationship Id="rId11" Type="http://schemas.openxmlformats.org/officeDocument/2006/relationships/hyperlink" Target="https://www.ceta.org.co/html/vista_de_un_articulo.asp?Norma=729" TargetMode="External"/><Relationship Id="rId5" Type="http://schemas.openxmlformats.org/officeDocument/2006/relationships/hyperlink" Target="https://www.ceta.org.co/html/vista_de_un_articulo.asp?Norma=54" TargetMode="External"/><Relationship Id="rId10" Type="http://schemas.openxmlformats.org/officeDocument/2006/relationships/hyperlink" Target="https://www.ceta.org.co/html/vista_de_un_articulo.asp?Norma=31" TargetMode="External"/><Relationship Id="rId4" Type="http://schemas.openxmlformats.org/officeDocument/2006/relationships/hyperlink" Target="https://www.ceta.org.co/html/vista_de_un_articulo.asp?Norma=31" TargetMode="External"/><Relationship Id="rId9" Type="http://schemas.openxmlformats.org/officeDocument/2006/relationships/hyperlink" Target="https://www.ceta.org.co/html/vista_de_un_articulo.asp?Norma=72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1210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2022-12-01T13:55:00Z</dcterms:created>
  <dcterms:modified xsi:type="dcterms:W3CDTF">2022-12-01T14:00:00Z</dcterms:modified>
</cp:coreProperties>
</file>