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0F9A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 xml:space="preserve">OFICIO </w:t>
      </w:r>
      <w:proofErr w:type="spellStart"/>
      <w:r w:rsidRPr="00FF4F6F">
        <w:rPr>
          <w:rFonts w:eastAsia="Times New Roman" w:cs="Times New Roman"/>
          <w:b/>
          <w:bCs/>
          <w:szCs w:val="24"/>
          <w:lang w:eastAsia="es-CO"/>
        </w:rPr>
        <w:t>Nº</w:t>
      </w:r>
      <w:proofErr w:type="spellEnd"/>
      <w:r w:rsidRPr="00FF4F6F">
        <w:rPr>
          <w:rFonts w:eastAsia="Times New Roman" w:cs="Times New Roman"/>
          <w:b/>
          <w:bCs/>
          <w:szCs w:val="24"/>
          <w:lang w:eastAsia="es-CO"/>
        </w:rPr>
        <w:t xml:space="preserve"> 1229 [905681]</w:t>
      </w:r>
    </w:p>
    <w:p w14:paraId="6C4C4C67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>07-10-2020</w:t>
      </w:r>
    </w:p>
    <w:p w14:paraId="461BF3DE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>DIAN</w:t>
      </w:r>
    </w:p>
    <w:p w14:paraId="39676D9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FE3B01D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CE8313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Subdirección de Gestión Normativa y Doctrina</w:t>
      </w:r>
    </w:p>
    <w:p w14:paraId="22B4B4F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100208221-1229</w:t>
      </w:r>
    </w:p>
    <w:p w14:paraId="098E509B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Bogotá, D.C.</w:t>
      </w:r>
    </w:p>
    <w:p w14:paraId="33B6EFA0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803"/>
      </w:tblGrid>
      <w:tr w:rsidR="00651013" w:rsidRPr="00FF4F6F" w14:paraId="78590233" w14:textId="77777777" w:rsidTr="00FF4F6F">
        <w:trPr>
          <w:trHeight w:val="9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9223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Tema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075A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Factura electrónica de venta</w:t>
            </w:r>
          </w:p>
        </w:tc>
      </w:tr>
      <w:tr w:rsidR="00651013" w:rsidRPr="00FF4F6F" w14:paraId="0E06036D" w14:textId="77777777" w:rsidTr="00FF4F6F">
        <w:trPr>
          <w:trHeight w:val="20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5E0F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Descriptores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1EEC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Documento soporte de adquisiciones con sujetos no obligados a expedir factura de venta o documento equivalente.</w:t>
            </w:r>
          </w:p>
        </w:tc>
      </w:tr>
      <w:tr w:rsidR="00651013" w:rsidRPr="00FF4F6F" w14:paraId="1040F39F" w14:textId="77777777" w:rsidTr="00FF4F6F">
        <w:trPr>
          <w:trHeight w:val="32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2F36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Fuentes formales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F073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Artículos </w:t>
            </w:r>
            <w:hyperlink r:id="rId4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615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, </w:t>
            </w:r>
            <w:hyperlink r:id="rId5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616-1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 y </w:t>
            </w:r>
            <w:hyperlink r:id="rId6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617 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del Estatuto Tributario</w:t>
            </w:r>
          </w:p>
          <w:p w14:paraId="288650B5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Decreto 358 de 2020</w:t>
            </w:r>
          </w:p>
          <w:p w14:paraId="43D2FD01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Resolución 000042 de 2020.</w:t>
            </w:r>
          </w:p>
        </w:tc>
      </w:tr>
    </w:tbl>
    <w:p w14:paraId="26CECF9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6FE898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DEDF5CD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Cordial saludo,</w:t>
      </w:r>
    </w:p>
    <w:p w14:paraId="3CFB8E7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19945E2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6BEC63CA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6BD3EFB" w14:textId="77777777" w:rsidR="00FF4F6F" w:rsidRPr="00243623" w:rsidRDefault="00FF4F6F" w:rsidP="00651013">
      <w:pPr>
        <w:spacing w:after="0" w:line="360" w:lineRule="auto"/>
        <w:jc w:val="both"/>
        <w:rPr>
          <w:rFonts w:eastAsia="Times New Roman" w:cs="Times New Roman"/>
          <w:b/>
          <w:bCs/>
          <w:sz w:val="28"/>
          <w:szCs w:val="28"/>
          <w:lang w:eastAsia="es-CO"/>
        </w:rPr>
      </w:pPr>
      <w:r w:rsidRPr="00243623">
        <w:rPr>
          <w:rFonts w:eastAsia="Times New Roman" w:cs="Times New Roman"/>
          <w:b/>
          <w:bCs/>
          <w:sz w:val="28"/>
          <w:szCs w:val="28"/>
          <w:highlight w:val="yellow"/>
          <w:lang w:eastAsia="es-CO"/>
        </w:rPr>
        <w:t>Mediante el radicado de la referencia, el peticionario plantea dos interrogantes sobre la obligación de expedir documento soporte en adquisiciones efectuadas a sujetos no obligados a expedir factura de venta o documento equivalente de las entidades públicas, así:</w:t>
      </w:r>
    </w:p>
    <w:p w14:paraId="0526141B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i/>
          <w:iCs/>
          <w:szCs w:val="24"/>
          <w:lang w:eastAsia="es-CO"/>
        </w:rPr>
        <w:t> </w:t>
      </w:r>
    </w:p>
    <w:p w14:paraId="20DDF905" w14:textId="77777777" w:rsidR="00FF4F6F" w:rsidRPr="00243623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b/>
          <w:bCs/>
          <w:sz w:val="32"/>
          <w:szCs w:val="32"/>
          <w:highlight w:val="yellow"/>
          <w:lang w:eastAsia="es-CO"/>
        </w:rPr>
      </w:pPr>
      <w:r w:rsidRPr="00243623">
        <w:rPr>
          <w:rFonts w:eastAsia="Times New Roman" w:cs="Times New Roman"/>
          <w:b/>
          <w:bCs/>
          <w:i/>
          <w:iCs/>
          <w:sz w:val="32"/>
          <w:szCs w:val="32"/>
          <w:highlight w:val="yellow"/>
          <w:lang w:eastAsia="es-CO"/>
        </w:rPr>
        <w:t>“(…) 1. Las entidades de Derecho Público que realicen transacciones con sujetos no obligados a expedir factura de venta y/o documento equivalente pero que NO requieran soportar costos, deducciones o impuestos descontables, deben expedir documento soporte en adquisiciones efectuadas a sujetos no obligados a expedir factura de venta o documento equivalente?</w:t>
      </w:r>
    </w:p>
    <w:p w14:paraId="7EA70AE8" w14:textId="77777777" w:rsidR="00FF4F6F" w:rsidRPr="00243623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b/>
          <w:bCs/>
          <w:sz w:val="32"/>
          <w:szCs w:val="32"/>
          <w:highlight w:val="yellow"/>
          <w:lang w:eastAsia="es-CO"/>
        </w:rPr>
      </w:pPr>
      <w:r w:rsidRPr="00243623">
        <w:rPr>
          <w:rFonts w:eastAsia="Times New Roman" w:cs="Times New Roman"/>
          <w:b/>
          <w:bCs/>
          <w:sz w:val="32"/>
          <w:szCs w:val="32"/>
          <w:highlight w:val="yellow"/>
          <w:lang w:eastAsia="es-CO"/>
        </w:rPr>
        <w:lastRenderedPageBreak/>
        <w:t> </w:t>
      </w:r>
    </w:p>
    <w:p w14:paraId="695A5B2B" w14:textId="77777777" w:rsidR="00FF4F6F" w:rsidRPr="00243623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b/>
          <w:bCs/>
          <w:sz w:val="32"/>
          <w:szCs w:val="32"/>
          <w:lang w:eastAsia="es-CO"/>
        </w:rPr>
      </w:pPr>
      <w:r w:rsidRPr="00243623">
        <w:rPr>
          <w:rFonts w:eastAsia="Times New Roman" w:cs="Times New Roman"/>
          <w:b/>
          <w:bCs/>
          <w:i/>
          <w:iCs/>
          <w:sz w:val="32"/>
          <w:szCs w:val="32"/>
          <w:highlight w:val="yellow"/>
          <w:lang w:eastAsia="es-CO"/>
        </w:rPr>
        <w:t>2. Si no requieren expedir este documento, el documento soporte para este tipo de contribuyentes puede ser la orden de pago generada por el SIIF Nación la cual soporta el pago de bienes y/o servicios adquiridos por una entidad de derecho público.”</w:t>
      </w:r>
    </w:p>
    <w:p w14:paraId="4A68683F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22741ABF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Sobre el particular las consideraciones de este Despacho son las siguientes:</w:t>
      </w:r>
    </w:p>
    <w:p w14:paraId="5B32CD6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6FED53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El documento soporte en adquisiciones efectuadas a sujetos no obligados a expedir factura de venta o documento equivalente, establecido en el artículo 1.6.1.4.12. del Decreto 1625 de 2016 y el artículo 55 de la Resolución 000042 de 2020, tiene como finalidad servir de documento soporte que pruebe la respectiva transacción que da lugar a costos, deducciones, o impuestos descontables, de conformidad con el </w:t>
      </w:r>
      <w:hyperlink r:id="rId7" w:tooltip="Estatuto Tributario CETA" w:history="1">
        <w:r w:rsidRPr="00FF4F6F">
          <w:rPr>
            <w:rFonts w:eastAsia="Times New Roman" w:cs="Times New Roman"/>
            <w:szCs w:val="24"/>
            <w:u w:val="single"/>
            <w:lang w:eastAsia="es-CO"/>
          </w:rPr>
          <w:t>artículo 771-2</w:t>
        </w:r>
      </w:hyperlink>
      <w:r w:rsidRPr="00FF4F6F">
        <w:rPr>
          <w:rFonts w:eastAsia="Times New Roman" w:cs="Times New Roman"/>
          <w:szCs w:val="24"/>
          <w:lang w:eastAsia="es-CO"/>
        </w:rPr>
        <w:t> del Estatuto Tributario.</w:t>
      </w:r>
    </w:p>
    <w:p w14:paraId="39466EEE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5E1A7308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En consecuencia, para determinar la procedencia o no de la expedición del mencionado documento debe en primer lugar revisarse el alcance de las operaciones y responsabilidades en materia tributaria, análisis que debe efectuar cada entidad.</w:t>
      </w:r>
    </w:p>
    <w:p w14:paraId="37BBDA3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FF4F6F">
        <w:rPr>
          <w:rFonts w:eastAsia="Times New Roman" w:cs="Times New Roman"/>
          <w:sz w:val="36"/>
          <w:szCs w:val="36"/>
          <w:lang w:eastAsia="es-CO"/>
        </w:rPr>
        <w:t> </w:t>
      </w:r>
    </w:p>
    <w:p w14:paraId="3CAE4CF0" w14:textId="77777777" w:rsidR="00FF4F6F" w:rsidRPr="00243623" w:rsidRDefault="00FF4F6F" w:rsidP="00651013">
      <w:pPr>
        <w:spacing w:after="0" w:line="360" w:lineRule="auto"/>
        <w:jc w:val="both"/>
        <w:rPr>
          <w:rFonts w:eastAsia="Times New Roman" w:cs="Times New Roman"/>
          <w:b/>
          <w:bCs/>
          <w:sz w:val="36"/>
          <w:szCs w:val="36"/>
          <w:lang w:eastAsia="es-CO"/>
        </w:rPr>
      </w:pPr>
      <w:r w:rsidRPr="00FF4F6F">
        <w:rPr>
          <w:rFonts w:eastAsia="Times New Roman" w:cs="Times New Roman"/>
          <w:sz w:val="36"/>
          <w:szCs w:val="36"/>
          <w:highlight w:val="green"/>
          <w:lang w:eastAsia="es-CO"/>
        </w:rPr>
        <w:t xml:space="preserve">En este orden de ideas, </w:t>
      </w:r>
      <w:r w:rsidRPr="00243623">
        <w:rPr>
          <w:rFonts w:eastAsia="Times New Roman" w:cs="Times New Roman"/>
          <w:b/>
          <w:bCs/>
          <w:sz w:val="36"/>
          <w:szCs w:val="36"/>
          <w:highlight w:val="green"/>
          <w:lang w:eastAsia="es-CO"/>
        </w:rPr>
        <w:t>si no se requiere probar la respectiva transacción para que dé lugar a costos, deducciones, o impuestos descontables, de conformidad con el </w:t>
      </w:r>
      <w:hyperlink r:id="rId8" w:tooltip="Estatuto Tributario CETA" w:history="1">
        <w:r w:rsidRPr="00243623">
          <w:rPr>
            <w:rFonts w:eastAsia="Times New Roman" w:cs="Times New Roman"/>
            <w:b/>
            <w:bCs/>
            <w:sz w:val="36"/>
            <w:szCs w:val="36"/>
            <w:highlight w:val="green"/>
            <w:u w:val="single"/>
            <w:lang w:eastAsia="es-CO"/>
          </w:rPr>
          <w:t>artículo 771-2</w:t>
        </w:r>
      </w:hyperlink>
      <w:r w:rsidRPr="00243623">
        <w:rPr>
          <w:rFonts w:eastAsia="Times New Roman" w:cs="Times New Roman"/>
          <w:b/>
          <w:bCs/>
          <w:sz w:val="36"/>
          <w:szCs w:val="36"/>
          <w:highlight w:val="green"/>
          <w:lang w:eastAsia="es-CO"/>
        </w:rPr>
        <w:t> del Estatuto Tributario, no es necesario a la luz de la normatividad tributaria vigente expedir el respectivo “</w:t>
      </w:r>
      <w:r w:rsidRPr="00243623">
        <w:rPr>
          <w:rFonts w:eastAsia="Times New Roman" w:cs="Times New Roman"/>
          <w:b/>
          <w:bCs/>
          <w:i/>
          <w:iCs/>
          <w:sz w:val="36"/>
          <w:szCs w:val="36"/>
          <w:highlight w:val="green"/>
          <w:lang w:eastAsia="es-CO"/>
        </w:rPr>
        <w:t>Documento Soporte de adquisiciones a sujetos no obligados a expedir factura de venta o documento equivalente”.</w:t>
      </w:r>
    </w:p>
    <w:p w14:paraId="05CA637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05587C5" w14:textId="05433277" w:rsidR="00FF4F6F" w:rsidRPr="00651013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Respecto a la segunda pregunta, nos permitimos informar que esta excede las competencias de este Despacho.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51013" w:rsidRPr="00FF4F6F" w14:paraId="301EB1ED" w14:textId="77777777" w:rsidTr="00D11A8D">
        <w:trPr>
          <w:tblCellSpacing w:w="0" w:type="dxa"/>
        </w:trPr>
        <w:tc>
          <w:tcPr>
            <w:tcW w:w="9356" w:type="dxa"/>
            <w:hideMark/>
          </w:tcPr>
          <w:p w14:paraId="070D9319" w14:textId="77777777" w:rsidR="00651013" w:rsidRPr="00651013" w:rsidRDefault="00651013" w:rsidP="00D11A8D">
            <w:pPr>
              <w:spacing w:line="360" w:lineRule="auto"/>
              <w:rPr>
                <w:rFonts w:cs="Times New Roman"/>
                <w:szCs w:val="24"/>
              </w:rPr>
            </w:pPr>
          </w:p>
          <w:tbl>
            <w:tblPr>
              <w:tblW w:w="143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55"/>
            </w:tblGrid>
            <w:tr w:rsidR="00651013" w:rsidRPr="00FF4F6F" w14:paraId="0BAF90FB" w14:textId="77777777" w:rsidTr="00D11A8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D0CC12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Atentamente,</w:t>
                  </w:r>
                </w:p>
                <w:p w14:paraId="1B31ABE7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b/>
                      <w:bCs/>
                      <w:szCs w:val="24"/>
                      <w:lang w:eastAsia="es-CO"/>
                    </w:rPr>
                    <w:t> </w:t>
                  </w:r>
                </w:p>
                <w:p w14:paraId="1D6DCEE6" w14:textId="185B55A2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b/>
                      <w:bCs/>
                      <w:szCs w:val="24"/>
                      <w:lang w:eastAsia="es-CO"/>
                    </w:rPr>
                    <w:t>PABLO EMILIO MENDOZA VELILLA</w:t>
                  </w:r>
                </w:p>
                <w:p w14:paraId="18A70707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Subdirector de Gestión Normativa y Doctrina</w:t>
                  </w:r>
                </w:p>
                <w:p w14:paraId="5AC5573B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lastRenderedPageBreak/>
                    <w:t>Dirección de Gestión Jurídica</w:t>
                  </w:r>
                </w:p>
                <w:p w14:paraId="20E8D433" w14:textId="77777777" w:rsidR="00651013" w:rsidRPr="00651013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UAE-Dirección de Impuestos y Aduanas Nacionale</w:t>
                  </w:r>
                  <w:r w:rsidRPr="00651013">
                    <w:rPr>
                      <w:rFonts w:eastAsia="Times New Roman" w:cs="Times New Roman"/>
                      <w:szCs w:val="24"/>
                      <w:lang w:eastAsia="es-CO"/>
                    </w:rPr>
                    <w:t>s</w:t>
                  </w:r>
                </w:p>
                <w:p w14:paraId="5FB05B68" w14:textId="543567A3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651013">
                    <w:rPr>
                      <w:rFonts w:eastAsia="Times New Roman" w:cs="Times New Roman"/>
                      <w:szCs w:val="24"/>
                      <w:lang w:eastAsia="es-CO"/>
                    </w:rPr>
                    <w:t>_________________________________________________________________________________</w:t>
                  </w:r>
                </w:p>
              </w:tc>
            </w:tr>
          </w:tbl>
          <w:p w14:paraId="6959ABBF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</w:p>
        </w:tc>
      </w:tr>
    </w:tbl>
    <w:p w14:paraId="249CAE63" w14:textId="77777777" w:rsidR="00651013" w:rsidRPr="00FF4F6F" w:rsidRDefault="00651013" w:rsidP="00651013">
      <w:pPr>
        <w:spacing w:after="0" w:line="360" w:lineRule="auto"/>
        <w:rPr>
          <w:rFonts w:eastAsia="Times New Roman" w:cs="Times New Roman"/>
          <w:vanish/>
          <w:szCs w:val="24"/>
          <w:lang w:eastAsia="es-C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</w:tblGrid>
      <w:tr w:rsidR="00651013" w:rsidRPr="00FF4F6F" w14:paraId="2E4E7B9E" w14:textId="77777777" w:rsidTr="00D11A8D">
        <w:trPr>
          <w:trHeight w:val="444"/>
          <w:tblCellSpacing w:w="0" w:type="dxa"/>
        </w:trPr>
        <w:tc>
          <w:tcPr>
            <w:tcW w:w="120" w:type="dxa"/>
            <w:shd w:val="clear" w:color="auto" w:fill="FFFFFF"/>
            <w:hideMark/>
          </w:tcPr>
          <w:p w14:paraId="29DAC4E9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noProof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3E91F9D" wp14:editId="716E7AE3">
                      <wp:extent cx="76200" cy="7620"/>
                      <wp:effectExtent l="0" t="0" r="0" b="0"/>
                      <wp:docPr id="4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003F2" id="AutoShape 4" o:spid="_x0000_s1026" style="width: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8C0FA48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br/>
            </w:r>
          </w:p>
        </w:tc>
      </w:tr>
    </w:tbl>
    <w:p w14:paraId="7DF3A4FE" w14:textId="77777777" w:rsidR="00651013" w:rsidRPr="00FF4F6F" w:rsidRDefault="00651013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</w:p>
    <w:p w14:paraId="6CFF4431" w14:textId="77777777" w:rsidR="00FF4F6F" w:rsidRPr="00651013" w:rsidRDefault="00FF4F6F" w:rsidP="00651013">
      <w:pPr>
        <w:spacing w:line="360" w:lineRule="auto"/>
        <w:rPr>
          <w:rFonts w:cs="Times New Roman"/>
          <w:szCs w:val="24"/>
        </w:rPr>
      </w:pPr>
    </w:p>
    <w:p w14:paraId="592442B1" w14:textId="77777777" w:rsidR="00FF4F6F" w:rsidRPr="00651013" w:rsidRDefault="00FF4F6F" w:rsidP="00651013">
      <w:pPr>
        <w:spacing w:line="360" w:lineRule="auto"/>
        <w:rPr>
          <w:rFonts w:cs="Times New Roman"/>
          <w:szCs w:val="24"/>
        </w:rPr>
      </w:pPr>
    </w:p>
    <w:p w14:paraId="68F6B5E8" w14:textId="77777777" w:rsidR="007F5CC8" w:rsidRPr="00651013" w:rsidRDefault="007F5CC8" w:rsidP="00651013">
      <w:pPr>
        <w:spacing w:line="360" w:lineRule="auto"/>
        <w:rPr>
          <w:rFonts w:cs="Times New Roman"/>
          <w:szCs w:val="24"/>
        </w:rPr>
      </w:pPr>
    </w:p>
    <w:sectPr w:rsidR="007F5CC8" w:rsidRPr="00651013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6F"/>
    <w:rsid w:val="000F3837"/>
    <w:rsid w:val="001E311E"/>
    <w:rsid w:val="00243623"/>
    <w:rsid w:val="00434AE6"/>
    <w:rsid w:val="00651013"/>
    <w:rsid w:val="00756F4C"/>
    <w:rsid w:val="007F5CC8"/>
    <w:rsid w:val="008779BE"/>
    <w:rsid w:val="00EB5ADB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61AE"/>
  <w15:chartTrackingRefBased/>
  <w15:docId w15:val="{A5FDD112-E00A-4632-94B8-E646E39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4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9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761" TargetMode="External"/><Relationship Id="rId5" Type="http://schemas.openxmlformats.org/officeDocument/2006/relationships/hyperlink" Target="https://www.ceta.org.co/html/vista_de_un_articulo.asp?Norma=7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eta.org.co/html/vista_de_un_articulo.asp?Norma=7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Guillermo Alzate Duque</cp:lastModifiedBy>
  <cp:revision>2</cp:revision>
  <dcterms:created xsi:type="dcterms:W3CDTF">2022-06-10T00:43:00Z</dcterms:created>
  <dcterms:modified xsi:type="dcterms:W3CDTF">2022-06-10T00:43:00Z</dcterms:modified>
</cp:coreProperties>
</file>