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711C5" w14:textId="77777777" w:rsidR="00A01037" w:rsidRPr="009E68BE" w:rsidRDefault="00A01037" w:rsidP="009E68BE">
      <w:pPr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 xml:space="preserve">OFICIO </w:t>
      </w:r>
      <w:proofErr w:type="spellStart"/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Nº</w:t>
      </w:r>
      <w:proofErr w:type="spellEnd"/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 xml:space="preserve"> 1142 [912759]</w:t>
      </w:r>
    </w:p>
    <w:p w14:paraId="12317807" w14:textId="77777777" w:rsidR="00A01037" w:rsidRPr="009E68BE" w:rsidRDefault="00A01037" w:rsidP="009E68BE">
      <w:pPr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13-09-2022</w:t>
      </w:r>
    </w:p>
    <w:p w14:paraId="0ED666A2" w14:textId="77777777" w:rsidR="00A01037" w:rsidRPr="009E68BE" w:rsidRDefault="00A01037" w:rsidP="009E68BE">
      <w:pPr>
        <w:jc w:val="center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DIAN</w:t>
      </w:r>
    </w:p>
    <w:p w14:paraId="522C1045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7F79027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6060F33C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Subdirección de Normativa y Doctrina</w:t>
      </w:r>
    </w:p>
    <w:p w14:paraId="02603AD0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100208192-1142</w:t>
      </w:r>
    </w:p>
    <w:p w14:paraId="40BCF443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Bogotá, D.C.</w:t>
      </w:r>
    </w:p>
    <w:p w14:paraId="2BF378B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6"/>
        <w:gridCol w:w="3954"/>
      </w:tblGrid>
      <w:tr w:rsidR="00A01037" w:rsidRPr="009E68BE" w14:paraId="71454729" w14:textId="77777777" w:rsidTr="00A01037"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66C1007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Tema: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AFB1CF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Procedimiento tributario</w:t>
            </w:r>
          </w:p>
        </w:tc>
      </w:tr>
      <w:tr w:rsidR="00A01037" w:rsidRPr="009E68BE" w14:paraId="05165133" w14:textId="77777777" w:rsidTr="00A01037"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9C7DE7E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Descriptores: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3AF3F25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Notificación electrónica Computo de términos</w:t>
            </w:r>
          </w:p>
        </w:tc>
      </w:tr>
      <w:tr w:rsidR="00A01037" w:rsidRPr="009E68BE" w14:paraId="008AD988" w14:textId="77777777" w:rsidTr="00A01037">
        <w:tc>
          <w:tcPr>
            <w:tcW w:w="220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435D470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Fuentes formales:</w:t>
            </w:r>
          </w:p>
        </w:tc>
        <w:tc>
          <w:tcPr>
            <w:tcW w:w="39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023AE64" w14:textId="77777777" w:rsidR="00A01037" w:rsidRPr="009E68BE" w:rsidRDefault="00000000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hyperlink r:id="rId5" w:tooltip="Estatuto Tributario CETA" w:history="1">
              <w:r w:rsidR="00A01037" w:rsidRPr="009E68BE">
                <w:rPr>
                  <w:rFonts w:ascii="Times New Roman" w:eastAsia="Times New Roman" w:hAnsi="Times New Roman" w:cs="Times New Roman"/>
                  <w:color w:val="0645AD"/>
                  <w:highlight w:val="yellow"/>
                  <w:u w:val="single"/>
                  <w:lang w:eastAsia="es-419"/>
                </w:rPr>
                <w:t>Artículo 566-1</w:t>
              </w:r>
            </w:hyperlink>
            <w:r w:rsidR="00A01037"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 del Estatuto Tributario</w:t>
            </w:r>
          </w:p>
          <w:p w14:paraId="53E62D22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Artículo 28 del Código Civil</w:t>
            </w:r>
          </w:p>
          <w:p w14:paraId="405E6664" w14:textId="77777777" w:rsidR="00A01037" w:rsidRPr="009E68BE" w:rsidRDefault="00A01037" w:rsidP="009E68BE">
            <w:pPr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Artículos 59, 60 y 62 de la Ley 4 de 1913</w:t>
            </w:r>
          </w:p>
        </w:tc>
      </w:tr>
    </w:tbl>
    <w:p w14:paraId="69C7E9A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55BB52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A41D71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Cordial saludo,</w:t>
      </w:r>
    </w:p>
    <w:p w14:paraId="6AE6389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D16F15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De conformidad con el artículo 56 del Decreto 1742 de 2020, este Despacho está facultado para absolver las consultas escritas generales que se formulen sobre la interpretación y aplicación de las normas tributarias, aduaneras y de fiscalización cambiaria,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1436999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0DAFD62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Mediante el radicado de la referencia, el peticionario solicita lo siguiente:</w:t>
      </w:r>
    </w:p>
    <w:p w14:paraId="2DB87AC1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p w14:paraId="194A0200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“1. Indicar expresamente si el día en que se recibe el correo electrónico notificando un acto administrativo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se incluye dentro de los 5 días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que indica el inciso 3 del </w:t>
      </w:r>
      <w:hyperlink r:id="rId6" w:tooltip="Estatuto Tributario CETA" w:history="1">
        <w:r w:rsidRPr="009E68BE">
          <w:rPr>
            <w:rFonts w:ascii="Times New Roman" w:eastAsia="Times New Roman" w:hAnsi="Times New Roman" w:cs="Times New Roman"/>
            <w:i/>
            <w:iCs/>
            <w:color w:val="0645AD"/>
            <w:highlight w:val="yellow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 del Estatuto Tributario (...)</w:t>
      </w:r>
    </w:p>
    <w:p w14:paraId="473B8334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1254D7D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(...)</w:t>
      </w:r>
    </w:p>
    <w:p w14:paraId="1F1A87F5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7DE89C9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2. Indicar expresamente cuándo inicia el conteo de términos de respuesta o recurso de los actos administrativos (...) dado que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este término es en meses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(...)”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(negrilla fuera de texto).</w:t>
      </w:r>
    </w:p>
    <w:p w14:paraId="0F58BE50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A89B1D1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Sobre el particular, son consideraciones de este Despacho las siguientes:</w:t>
      </w:r>
    </w:p>
    <w:p w14:paraId="6F7785F3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75AB21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lastRenderedPageBreak/>
        <w:t>El </w:t>
      </w:r>
      <w:hyperlink r:id="rId7" w:tooltip="Estatuto Tributario CETA" w:history="1">
        <w:r w:rsidRPr="009E68BE">
          <w:rPr>
            <w:rFonts w:ascii="Times New Roman" w:eastAsia="Times New Roman" w:hAnsi="Times New Roman" w:cs="Times New Roman"/>
            <w:color w:val="0645AD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del Estatuto Tributario, que regula la notificación electrónica en materia tributaria, establece en su inciso 3°:</w:t>
      </w:r>
    </w:p>
    <w:p w14:paraId="4D6FDFAC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57E49ADB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“La notificación electrónica se entenderá surtida para todos los efectos legales, en la fecha del envío del acto administrativo en el correo electrónico autorizado; no obstante, los términos legales para el contribuyente, responsable, agente retenedor, declarante o su apoderado para responder o impugnar en sede administrativa,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comenzarán a correr transcurridos cinco (5) días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u w:val="single"/>
          <w:lang w:eastAsia="es-419"/>
        </w:rPr>
        <w:t>a partir de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 la entrega del correo electrónico”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.</w:t>
      </w: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(Subrayado y negrilla fuera de texto).</w:t>
      </w:r>
    </w:p>
    <w:p w14:paraId="7815A76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71C55265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Atendiendo lo consagrado en el artículo 28 del Código Civil, de acuerdo con el cual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“Las palabras de la ley se entenderán en su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sentido natural y obvio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, según el uso general de las mismas palabras” 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 xml:space="preserve">(negrilla fuera de texto), para esta Subdirección la locución “a partir de” denota un punto de partida, equiparable -si se quiere- a la preposición “desde”. </w:t>
      </w: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Por lo tanto, los cinco (5) días de que trata el inciso 3° del </w:t>
      </w:r>
      <w:hyperlink r:id="rId8" w:tooltip="Estatuto Tributario CETA" w:history="1">
        <w:r w:rsidRPr="009E68BE">
          <w:rPr>
            <w:rFonts w:ascii="Times New Roman" w:eastAsia="Times New Roman" w:hAnsi="Times New Roman" w:cs="Times New Roman"/>
            <w:color w:val="0645AD"/>
            <w:sz w:val="32"/>
            <w:szCs w:val="32"/>
            <w:highlight w:val="yellow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es-419"/>
        </w:rPr>
        <w:t>ibídem</w:t>
      </w: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se deben contar teniendo en cuenta el mismo día de entrega del correo electrónico.</w:t>
      </w:r>
    </w:p>
    <w:p w14:paraId="39F6DD4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4E94F9D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Si el legislador hubiese pretendido que dicho conteo se realizara desde el día siguiente a la referida entrega habría empleado expresiones como “cinco (5) días siguientes a la entrega” o “cinco (5) días a partir del día siguiente a la entrega”.</w:t>
      </w:r>
    </w:p>
    <w:p w14:paraId="4441744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1E1703CA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Aunado a lo señalado, es de advertir que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“En los plazos de días que se señalen en las leyes (...)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se entienden suprimidos los feriados y de vacantes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, a menos de expresarse lo contrario”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(negrilla fuera de texto), de conformidad con el artículo 62 de la Ley 4 de 1913 (sobre régimen político y municipal).</w:t>
      </w:r>
    </w:p>
    <w:p w14:paraId="73F92C1B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91DEBD7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A la par, el artículo 59 de la misma Ley 4 indica:</w:t>
      </w:r>
    </w:p>
    <w:p w14:paraId="4BED5D7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</w:t>
      </w:r>
    </w:p>
    <w:p w14:paraId="6C276735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sz w:val="32"/>
          <w:szCs w:val="32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es-419"/>
        </w:rPr>
        <w:t>“Todos los plazos de días, meses o años, de que se haga mención legal, se entenderán que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  <w:highlight w:val="yellow"/>
          <w:lang w:eastAsia="es-419"/>
        </w:rPr>
        <w:t>terminan a la medianoche del último día del plazo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highlight w:val="yellow"/>
          <w:lang w:eastAsia="es-419"/>
        </w:rPr>
        <w:t>. Por año y por mes se entienden los del calendario común, y por día el espacio de veinticuatro horas (...)”.</w:t>
      </w:r>
      <w:r w:rsidRPr="009E68BE">
        <w:rPr>
          <w:rFonts w:ascii="Times New Roman" w:eastAsia="Times New Roman" w:hAnsi="Times New Roman" w:cs="Times New Roman"/>
          <w:color w:val="000000"/>
          <w:sz w:val="32"/>
          <w:szCs w:val="32"/>
          <w:highlight w:val="yellow"/>
          <w:lang w:eastAsia="es-419"/>
        </w:rPr>
        <w:t> (Negrilla fuera de texto).</w:t>
      </w:r>
    </w:p>
    <w:p w14:paraId="3EAF594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68020BA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Asimismo, el artículo 60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ibídem</w:t>
      </w: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precisa:</w:t>
      </w:r>
    </w:p>
    <w:p w14:paraId="31870633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p w14:paraId="2405B343" w14:textId="77777777" w:rsidR="00A01037" w:rsidRPr="009E68BE" w:rsidRDefault="00A01037" w:rsidP="009E68BE">
      <w:pPr>
        <w:ind w:left="284"/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lastRenderedPageBreak/>
        <w:t>“(...) Cuando se exige que haya transcurrido un espacio de tiempo para que nazcan o expiren ciertos derechos, se entenderá que estos derechos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highlight w:val="yellow"/>
          <w:lang w:eastAsia="es-419"/>
        </w:rPr>
        <w:t>nacen o expiran a la medianoche del día en que termine el respectivo espacio de tiempo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highlight w:val="yellow"/>
          <w:lang w:eastAsia="es-419"/>
        </w:rPr>
        <w:t>”.</w:t>
      </w: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(Negrilla fuera de texto).</w:t>
      </w:r>
    </w:p>
    <w:p w14:paraId="09BAD7E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p w14:paraId="5FFA569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Para efectos de ilustrar lo antepuesto, obsérvese el siguiente ejemplo:</w:t>
      </w:r>
    </w:p>
    <w:p w14:paraId="21D9DC1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highlight w:val="yellow"/>
          <w:lang w:eastAsia="es-419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5"/>
        <w:gridCol w:w="6387"/>
      </w:tblGrid>
      <w:tr w:rsidR="00A01037" w:rsidRPr="009E68BE" w14:paraId="7CB84BA2" w14:textId="77777777" w:rsidTr="00A01037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DDD3F63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Fecha de entrega del correo electrónico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BD59B6B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Finalización del plazo de cinco (5) días</w:t>
            </w:r>
          </w:p>
        </w:tc>
      </w:tr>
      <w:tr w:rsidR="00A01037" w:rsidRPr="009E68BE" w14:paraId="110C1414" w14:textId="77777777" w:rsidTr="00A01037">
        <w:tc>
          <w:tcPr>
            <w:tcW w:w="3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53A781E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23 de agosto de 2022</w:t>
            </w:r>
          </w:p>
        </w:tc>
        <w:tc>
          <w:tcPr>
            <w:tcW w:w="6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F1EF0E3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highlight w:val="yellow"/>
                <w:lang w:eastAsia="es-419"/>
              </w:rPr>
              <w:t>29 de agosto de 2022 ya que los días 27 y 28 de este mes no eran hábiles</w:t>
            </w:r>
          </w:p>
        </w:tc>
      </w:tr>
    </w:tbl>
    <w:p w14:paraId="176AEE0D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7C3B37B2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06D492B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Ahora, algunas disposiciones establecen un término en meses para dar respuesta al acto administrativo o interponer recursos en contra de este (</w:t>
      </w:r>
      <w:proofErr w:type="spellStart"/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e.g</w:t>
      </w:r>
      <w:proofErr w:type="spellEnd"/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. </w:t>
      </w:r>
      <w:hyperlink r:id="rId9" w:tooltip="Estatuto Tributario CETA" w:history="1">
        <w:r w:rsidRPr="009E68BE">
          <w:rPr>
            <w:rFonts w:ascii="Times New Roman" w:eastAsia="Times New Roman" w:hAnsi="Times New Roman" w:cs="Times New Roman"/>
            <w:color w:val="0645AD"/>
            <w:u w:val="single"/>
            <w:lang w:eastAsia="es-419"/>
          </w:rPr>
          <w:t>artículo 720</w:t>
        </w:r>
      </w:hyperlink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del Estatuto Tributario respecto al recurso de reconsideración), sobre lo cual, además de atender los artículos 59 y 60 de la Ley 4 de 1913 también se debe examinar el artículo 62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ibídem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, ya que precisa que los plazos de meses 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“se computan según el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calendario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; pero si el último día fuere feriado o de vacante, se extenderá el plazo </w:t>
      </w:r>
      <w:r w:rsidRPr="009E68B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es-419"/>
        </w:rPr>
        <w:t>hasta el primer día hábil</w:t>
      </w:r>
      <w:r w:rsidRPr="009E68BE">
        <w:rPr>
          <w:rFonts w:ascii="Times New Roman" w:eastAsia="Times New Roman" w:hAnsi="Times New Roman" w:cs="Times New Roman"/>
          <w:i/>
          <w:iCs/>
          <w:color w:val="000000"/>
          <w:lang w:eastAsia="es-419"/>
        </w:rPr>
        <w:t>”</w:t>
      </w: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(negrilla fuera de texto).</w:t>
      </w:r>
    </w:p>
    <w:p w14:paraId="240E25DE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4DCF7AE2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Por ende, el término en meses que disponga la correspondiente disposición se deberá computar una vez transcurrido (o finalizado) el plazo de cinco (5) días de que trata el inciso 3° del </w:t>
      </w:r>
      <w:hyperlink r:id="rId10" w:tooltip="Estatuto Tributario CETA" w:history="1">
        <w:r w:rsidRPr="009E68BE">
          <w:rPr>
            <w:rFonts w:ascii="Times New Roman" w:eastAsia="Times New Roman" w:hAnsi="Times New Roman" w:cs="Times New Roman"/>
            <w:b/>
            <w:bCs/>
            <w:color w:val="0645AD"/>
            <w:highlight w:val="yellow"/>
            <w:u w:val="single"/>
            <w:lang w:eastAsia="es-419"/>
          </w:rPr>
          <w:t>artículo 566-1</w:t>
        </w:r>
      </w:hyperlink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 del Estatuto Tributario.</w:t>
      </w:r>
    </w:p>
    <w:p w14:paraId="2BAA03A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 </w:t>
      </w:r>
    </w:p>
    <w:p w14:paraId="345ABF16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Continuando con el mismo ejemplo:</w:t>
      </w:r>
    </w:p>
    <w:p w14:paraId="18618949" w14:textId="77777777" w:rsidR="00A01037" w:rsidRPr="009E68BE" w:rsidRDefault="00A01037" w:rsidP="009E68BE">
      <w:pPr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highlight w:val="yellow"/>
          <w:lang w:eastAsia="es-419"/>
        </w:rPr>
        <w:t> 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5"/>
        <w:gridCol w:w="6537"/>
      </w:tblGrid>
      <w:tr w:rsidR="00A01037" w:rsidRPr="009E68BE" w14:paraId="5A54310D" w14:textId="77777777" w:rsidTr="00A01037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0DC6446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Finalización del plazo de cinco (5) días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1FFB875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Finalización del término general para interponer recurso de reconsideración</w:t>
            </w:r>
          </w:p>
        </w:tc>
      </w:tr>
      <w:tr w:rsidR="00A01037" w:rsidRPr="009E68BE" w14:paraId="04F84641" w14:textId="77777777" w:rsidTr="00A01037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AEAA3AD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29 de agosto de 2022</w:t>
            </w:r>
          </w:p>
        </w:tc>
        <w:tc>
          <w:tcPr>
            <w:tcW w:w="6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960986" w14:textId="77777777" w:rsidR="00A01037" w:rsidRPr="009E68BE" w:rsidRDefault="00A01037" w:rsidP="009E68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es-419"/>
              </w:rPr>
            </w:pPr>
            <w:r w:rsidRPr="009E68BE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es-419"/>
              </w:rPr>
              <w:t>31 de octubre de 2022 ya que el día 30 de este mes no es hábil</w:t>
            </w:r>
          </w:p>
        </w:tc>
      </w:tr>
    </w:tbl>
    <w:p w14:paraId="43ABE6A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4BC99F7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2FE3338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A3CA9BF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Atentamente,</w:t>
      </w:r>
    </w:p>
    <w:p w14:paraId="4448C6D9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3701511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 </w:t>
      </w:r>
    </w:p>
    <w:p w14:paraId="4890CC87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b/>
          <w:bCs/>
          <w:color w:val="000000"/>
          <w:lang w:eastAsia="es-419"/>
        </w:rPr>
        <w:t>NICOLÁS BERNAL ABELLA</w:t>
      </w:r>
    </w:p>
    <w:p w14:paraId="7603237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Subdirector de Normativa y Doctrina (E)</w:t>
      </w:r>
    </w:p>
    <w:p w14:paraId="717496EC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Dirección de Gestión Jurídica</w:t>
      </w:r>
    </w:p>
    <w:p w14:paraId="20CEBDF8" w14:textId="77777777" w:rsidR="00A01037" w:rsidRPr="009E68BE" w:rsidRDefault="00A01037" w:rsidP="009E68BE">
      <w:pPr>
        <w:rPr>
          <w:rFonts w:ascii="Times New Roman" w:eastAsia="Times New Roman" w:hAnsi="Times New Roman" w:cs="Times New Roman"/>
          <w:color w:val="000000"/>
          <w:lang w:eastAsia="es-419"/>
        </w:rPr>
      </w:pPr>
      <w:r w:rsidRPr="009E68BE">
        <w:rPr>
          <w:rFonts w:ascii="Times New Roman" w:eastAsia="Times New Roman" w:hAnsi="Times New Roman" w:cs="Times New Roman"/>
          <w:color w:val="000000"/>
          <w:lang w:eastAsia="es-419"/>
        </w:rPr>
        <w:t>UAE-Dirección de Impuestos y Aduanas Nacionales</w:t>
      </w:r>
    </w:p>
    <w:p w14:paraId="49D14C05" w14:textId="77777777" w:rsidR="002F3F02" w:rsidRPr="009E68BE" w:rsidRDefault="002F3F02" w:rsidP="009E68BE">
      <w:pPr>
        <w:rPr>
          <w:rFonts w:ascii="Times New Roman" w:hAnsi="Times New Roman" w:cs="Times New Roman"/>
        </w:rPr>
      </w:pPr>
    </w:p>
    <w:sectPr w:rsidR="002F3F02" w:rsidRPr="009E68BE" w:rsidSect="00A613E5">
      <w:pgSz w:w="12189" w:h="18709" w:code="10000"/>
      <w:pgMar w:top="1077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60C40"/>
    <w:multiLevelType w:val="multilevel"/>
    <w:tmpl w:val="580A001D"/>
    <w:styleLink w:val="DEMANDAS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8068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037"/>
    <w:rsid w:val="002F3F02"/>
    <w:rsid w:val="004A489D"/>
    <w:rsid w:val="004F1D2E"/>
    <w:rsid w:val="005173B2"/>
    <w:rsid w:val="00840411"/>
    <w:rsid w:val="00885E73"/>
    <w:rsid w:val="009705EC"/>
    <w:rsid w:val="009E68BE"/>
    <w:rsid w:val="00A01037"/>
    <w:rsid w:val="00A613E5"/>
    <w:rsid w:val="00A91F78"/>
    <w:rsid w:val="00AE7AD8"/>
    <w:rsid w:val="00B21583"/>
    <w:rsid w:val="00B76269"/>
    <w:rsid w:val="00BE074B"/>
    <w:rsid w:val="00CA1F22"/>
    <w:rsid w:val="00CC19F3"/>
    <w:rsid w:val="00CC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D9AFA"/>
  <w15:chartTrackingRefBased/>
  <w15:docId w15:val="{7AF9915C-33E0-4FB0-802C-CA3EFC996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Arial"/>
        <w:sz w:val="24"/>
        <w:szCs w:val="24"/>
        <w:lang w:val="es-419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D9A"/>
  </w:style>
  <w:style w:type="paragraph" w:styleId="Ttulo1">
    <w:name w:val="heading 1"/>
    <w:basedOn w:val="Normal"/>
    <w:next w:val="Normal"/>
    <w:link w:val="Ttulo1Car"/>
    <w:uiPriority w:val="9"/>
    <w:qFormat/>
    <w:rsid w:val="00CC2D9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C2D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DEMANDAS">
    <w:name w:val="DEMANDAS"/>
    <w:uiPriority w:val="99"/>
    <w:rsid w:val="00885E73"/>
    <w:pPr>
      <w:numPr>
        <w:numId w:val="1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CC2D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C2D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Textoennegrita">
    <w:name w:val="Strong"/>
    <w:basedOn w:val="Fuentedeprrafopredeter"/>
    <w:uiPriority w:val="22"/>
    <w:qFormat/>
    <w:rsid w:val="00CC2D9A"/>
    <w:rPr>
      <w:b/>
      <w:bCs/>
    </w:rPr>
  </w:style>
  <w:style w:type="paragraph" w:styleId="Prrafodelista">
    <w:name w:val="List Paragraph"/>
    <w:basedOn w:val="Normal"/>
    <w:uiPriority w:val="34"/>
    <w:qFormat/>
    <w:rsid w:val="00CC2D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23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160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eta.org.co/html/vista_de_un_articulo.asp?Norma=1603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eta.org.co/html/vista_de_un_articulo.asp?Norma=16035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ceta.org.co/html/vista_de_un_articulo.asp?Norma=16035" TargetMode="External"/><Relationship Id="rId10" Type="http://schemas.openxmlformats.org/officeDocument/2006/relationships/hyperlink" Target="https://www.ceta.org.co/html/vista_de_un_articulo.asp?Norma=1603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ta.org.co/html/vista_de_un_articulo.asp?Norma=896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910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Alexandra Orozco López</dc:creator>
  <cp:keywords/>
  <dc:description/>
  <cp:lastModifiedBy>Guillermo Alzate Duque</cp:lastModifiedBy>
  <cp:revision>2</cp:revision>
  <dcterms:created xsi:type="dcterms:W3CDTF">2022-10-05T00:36:00Z</dcterms:created>
  <dcterms:modified xsi:type="dcterms:W3CDTF">2022-10-28T16:38:00Z</dcterms:modified>
</cp:coreProperties>
</file>