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711C5" w14:textId="77777777" w:rsidR="00A01037" w:rsidRPr="009E68BE" w:rsidRDefault="00A01037" w:rsidP="009E68BE">
      <w:pPr>
        <w:jc w:val="center"/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b/>
          <w:bCs/>
          <w:color w:val="000000"/>
          <w:lang w:eastAsia="es-419"/>
        </w:rPr>
        <w:t xml:space="preserve">OFICIO </w:t>
      </w:r>
      <w:proofErr w:type="spellStart"/>
      <w:r w:rsidRPr="009E68BE">
        <w:rPr>
          <w:rFonts w:ascii="Times New Roman" w:eastAsia="Times New Roman" w:hAnsi="Times New Roman" w:cs="Times New Roman"/>
          <w:b/>
          <w:bCs/>
          <w:color w:val="000000"/>
          <w:lang w:eastAsia="es-419"/>
        </w:rPr>
        <w:t>Nº</w:t>
      </w:r>
      <w:proofErr w:type="spellEnd"/>
      <w:r w:rsidRPr="009E68BE">
        <w:rPr>
          <w:rFonts w:ascii="Times New Roman" w:eastAsia="Times New Roman" w:hAnsi="Times New Roman" w:cs="Times New Roman"/>
          <w:b/>
          <w:bCs/>
          <w:color w:val="000000"/>
          <w:lang w:eastAsia="es-419"/>
        </w:rPr>
        <w:t xml:space="preserve"> 1142 [912759]</w:t>
      </w:r>
    </w:p>
    <w:p w14:paraId="12317807" w14:textId="77777777" w:rsidR="00A01037" w:rsidRPr="009E68BE" w:rsidRDefault="00A01037" w:rsidP="009E68BE">
      <w:pPr>
        <w:jc w:val="center"/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b/>
          <w:bCs/>
          <w:color w:val="000000"/>
          <w:lang w:eastAsia="es-419"/>
        </w:rPr>
        <w:t>13-09-2022</w:t>
      </w:r>
    </w:p>
    <w:p w14:paraId="0ED666A2" w14:textId="77777777" w:rsidR="00A01037" w:rsidRPr="009E68BE" w:rsidRDefault="00A01037" w:rsidP="009E68BE">
      <w:pPr>
        <w:jc w:val="center"/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b/>
          <w:bCs/>
          <w:color w:val="000000"/>
          <w:lang w:eastAsia="es-419"/>
        </w:rPr>
        <w:t>DIAN</w:t>
      </w:r>
    </w:p>
    <w:p w14:paraId="522C1045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7F79027A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6060F33C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Subdirección de Normativa y Doctrina</w:t>
      </w:r>
    </w:p>
    <w:p w14:paraId="02603AD0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100208192-1142</w:t>
      </w:r>
    </w:p>
    <w:p w14:paraId="40BCF443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Bogotá, D.C.</w:t>
      </w:r>
    </w:p>
    <w:p w14:paraId="2BF378BF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6"/>
        <w:gridCol w:w="3954"/>
      </w:tblGrid>
      <w:tr w:rsidR="00A01037" w:rsidRPr="009E68BE" w14:paraId="71454729" w14:textId="77777777" w:rsidTr="00A01037"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6C1007" w14:textId="77777777" w:rsidR="00A01037" w:rsidRPr="009E68BE" w:rsidRDefault="00A01037" w:rsidP="009E68BE">
            <w:pPr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</w:pPr>
            <w:r w:rsidRPr="009E68BE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s-419"/>
              </w:rPr>
              <w:t>Tema: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AFB1CF" w14:textId="77777777" w:rsidR="00A01037" w:rsidRPr="009E68BE" w:rsidRDefault="00A01037" w:rsidP="009E68BE">
            <w:pPr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</w:pPr>
            <w:r w:rsidRPr="009E68BE"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  <w:t>Procedimiento tributario</w:t>
            </w:r>
          </w:p>
        </w:tc>
      </w:tr>
      <w:tr w:rsidR="00A01037" w:rsidRPr="009E68BE" w14:paraId="05165133" w14:textId="77777777" w:rsidTr="00A01037"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C7DE7E" w14:textId="77777777" w:rsidR="00A01037" w:rsidRPr="009E68BE" w:rsidRDefault="00A01037" w:rsidP="009E68BE">
            <w:pPr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</w:pPr>
            <w:r w:rsidRPr="009E68BE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s-419"/>
              </w:rPr>
              <w:t>Descriptores: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AF3F25" w14:textId="77777777" w:rsidR="00A01037" w:rsidRPr="009E68BE" w:rsidRDefault="00A01037" w:rsidP="009E68BE">
            <w:pPr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</w:pPr>
            <w:r w:rsidRPr="009E68BE"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  <w:t>Notificación electrónica Computo de términos</w:t>
            </w:r>
          </w:p>
        </w:tc>
      </w:tr>
      <w:tr w:rsidR="00A01037" w:rsidRPr="009E68BE" w14:paraId="008AD988" w14:textId="77777777" w:rsidTr="00A01037"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35D470" w14:textId="77777777" w:rsidR="00A01037" w:rsidRPr="009E68BE" w:rsidRDefault="00A01037" w:rsidP="009E68BE">
            <w:pPr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</w:pPr>
            <w:r w:rsidRPr="009E68BE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s-419"/>
              </w:rPr>
              <w:t>Fuentes formales: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23AE64" w14:textId="77777777" w:rsidR="00A01037" w:rsidRPr="009E68BE" w:rsidRDefault="00000000" w:rsidP="009E68BE">
            <w:pPr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</w:pPr>
            <w:hyperlink r:id="rId5" w:tooltip="Estatuto Tributario CETA" w:history="1">
              <w:r w:rsidR="00A01037" w:rsidRPr="009E68BE">
                <w:rPr>
                  <w:rFonts w:ascii="Times New Roman" w:eastAsia="Times New Roman" w:hAnsi="Times New Roman" w:cs="Times New Roman"/>
                  <w:color w:val="0645AD"/>
                  <w:highlight w:val="yellow"/>
                  <w:u w:val="single"/>
                  <w:lang w:eastAsia="es-419"/>
                </w:rPr>
                <w:t>Artículo 566-1</w:t>
              </w:r>
            </w:hyperlink>
            <w:r w:rsidR="00A01037" w:rsidRPr="009E68BE"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  <w:t> del Estatuto Tributario</w:t>
            </w:r>
          </w:p>
          <w:p w14:paraId="53E62D22" w14:textId="77777777" w:rsidR="00A01037" w:rsidRPr="009E68BE" w:rsidRDefault="00A01037" w:rsidP="009E68BE">
            <w:pPr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</w:pPr>
            <w:r w:rsidRPr="009E68BE"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  <w:t>Artículo 28 del Código Civil</w:t>
            </w:r>
          </w:p>
          <w:p w14:paraId="405E6664" w14:textId="77777777" w:rsidR="00A01037" w:rsidRPr="009E68BE" w:rsidRDefault="00A01037" w:rsidP="009E68BE">
            <w:pPr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</w:pPr>
            <w:r w:rsidRPr="009E68BE"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  <w:t>Artículos 59, 60 y 62 de la Ley 4 de 1913</w:t>
            </w:r>
          </w:p>
        </w:tc>
      </w:tr>
    </w:tbl>
    <w:p w14:paraId="69C7E9A8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355BB52A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1A41D71D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Cordial saludo,</w:t>
      </w:r>
    </w:p>
    <w:p w14:paraId="6AE6389E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1D16F15F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De conformidad con el artículo 56 del Decreto 1742 de 2020, este Despacho está facultado para absolver las consultas escritas generales que se formulen sobre la interpretación y aplicación de las normas tributarias, aduaneras y de fiscalización cambiaria, en el marco de las competencias de la Dirección de Impuestos y Aduanas Nacionales. Por consiguiente, no corresponde a este Despacho, en ejercicio de las funciones descritas anteriormente, prestar asesoría específica para atender casos particulares, ni juzgar o calificar las decisiones tomadas por otras dependencias o entidades.</w:t>
      </w:r>
    </w:p>
    <w:p w14:paraId="1436999D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0DAFD62F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  <w:t>Mediante el radicado de la referencia, el peticionario solicita lo siguiente:</w:t>
      </w:r>
    </w:p>
    <w:p w14:paraId="2DB87AC1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  <w:t> </w:t>
      </w:r>
    </w:p>
    <w:p w14:paraId="194A0200" w14:textId="77777777" w:rsidR="00A01037" w:rsidRPr="009E68BE" w:rsidRDefault="00A01037" w:rsidP="009E68BE">
      <w:pPr>
        <w:ind w:left="284"/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es-419"/>
        </w:rPr>
        <w:t>“1. Indicar expresamente si el día en que se recibe el correo electrónico notificando un acto administrativo </w:t>
      </w:r>
      <w:r w:rsidRPr="009E68BE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lang w:eastAsia="es-419"/>
        </w:rPr>
        <w:t>se incluye dentro de los 5 días </w:t>
      </w:r>
      <w:r w:rsidRPr="009E68BE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es-419"/>
        </w:rPr>
        <w:t>que indica el inciso 3 del </w:t>
      </w:r>
      <w:hyperlink r:id="rId6" w:tooltip="Estatuto Tributario CETA" w:history="1">
        <w:r w:rsidRPr="009E68BE">
          <w:rPr>
            <w:rFonts w:ascii="Times New Roman" w:eastAsia="Times New Roman" w:hAnsi="Times New Roman" w:cs="Times New Roman"/>
            <w:i/>
            <w:iCs/>
            <w:color w:val="0645AD"/>
            <w:highlight w:val="yellow"/>
            <w:u w:val="single"/>
            <w:lang w:eastAsia="es-419"/>
          </w:rPr>
          <w:t>artículo 566-1</w:t>
        </w:r>
      </w:hyperlink>
      <w:r w:rsidRPr="009E68BE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es-419"/>
        </w:rPr>
        <w:t> del Estatuto Tributario (...)</w:t>
      </w:r>
    </w:p>
    <w:p w14:paraId="473B8334" w14:textId="77777777" w:rsidR="00A01037" w:rsidRPr="009E68BE" w:rsidRDefault="00A01037" w:rsidP="009E68BE">
      <w:pPr>
        <w:ind w:left="284"/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51254D7D" w14:textId="77777777" w:rsidR="00A01037" w:rsidRPr="009E68BE" w:rsidRDefault="00A01037" w:rsidP="009E68BE">
      <w:pPr>
        <w:ind w:left="284"/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i/>
          <w:iCs/>
          <w:color w:val="000000"/>
          <w:lang w:eastAsia="es-419"/>
        </w:rPr>
        <w:t>(...)</w:t>
      </w:r>
    </w:p>
    <w:p w14:paraId="1F1A87F5" w14:textId="77777777" w:rsidR="00A01037" w:rsidRPr="009E68BE" w:rsidRDefault="00A01037" w:rsidP="009E68BE">
      <w:pPr>
        <w:ind w:left="284"/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57DE89C9" w14:textId="77777777" w:rsidR="00A01037" w:rsidRPr="009E68BE" w:rsidRDefault="00A01037" w:rsidP="009E68BE">
      <w:pPr>
        <w:ind w:left="284"/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i/>
          <w:iCs/>
          <w:color w:val="000000"/>
          <w:lang w:eastAsia="es-419"/>
        </w:rPr>
        <w:t>2. Indicar expresamente cuándo inicia el conteo de términos de respuesta o recurso de los actos administrativos (...) dado que </w:t>
      </w:r>
      <w:r w:rsidRPr="009E68B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419"/>
        </w:rPr>
        <w:t>este término es en meses </w:t>
      </w:r>
      <w:proofErr w:type="gramStart"/>
      <w:r w:rsidRPr="009E68BE">
        <w:rPr>
          <w:rFonts w:ascii="Times New Roman" w:eastAsia="Times New Roman" w:hAnsi="Times New Roman" w:cs="Times New Roman"/>
          <w:i/>
          <w:iCs/>
          <w:color w:val="000000"/>
          <w:lang w:eastAsia="es-419"/>
        </w:rPr>
        <w:t>(...)”</w:t>
      </w: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(</w:t>
      </w:r>
      <w:proofErr w:type="gramEnd"/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negrilla fuera de texto).</w:t>
      </w:r>
    </w:p>
    <w:p w14:paraId="0F58BE50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5A89B1D1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Sobre el particular, son consideraciones de este Despacho las siguientes:</w:t>
      </w:r>
    </w:p>
    <w:p w14:paraId="6F7785F3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575AB21D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lastRenderedPageBreak/>
        <w:t>El </w:t>
      </w:r>
      <w:hyperlink r:id="rId7" w:tooltip="Estatuto Tributario CETA" w:history="1">
        <w:r w:rsidRPr="009E68BE">
          <w:rPr>
            <w:rFonts w:ascii="Times New Roman" w:eastAsia="Times New Roman" w:hAnsi="Times New Roman" w:cs="Times New Roman"/>
            <w:color w:val="0645AD"/>
            <w:u w:val="single"/>
            <w:lang w:eastAsia="es-419"/>
          </w:rPr>
          <w:t>artículo 566-1</w:t>
        </w:r>
      </w:hyperlink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del Estatuto Tributario, que regula la notificación electrónica en materia tributaria, establece en su inciso 3°:</w:t>
      </w:r>
    </w:p>
    <w:p w14:paraId="4D6FDFAC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57E49ADB" w14:textId="77777777" w:rsidR="00A01037" w:rsidRPr="009E68BE" w:rsidRDefault="00A01037" w:rsidP="009E68BE">
      <w:pPr>
        <w:ind w:left="284"/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i/>
          <w:iCs/>
          <w:color w:val="000000"/>
          <w:lang w:eastAsia="es-419"/>
        </w:rPr>
        <w:t>“La notificación electrónica se entenderá surtida para todos los efectos legales, en la fecha del envío del acto administrativo en el correo electrónico autorizado; no obstante, los términos legales para el contribuyente, responsable, agente retenedor, declarante o su apoderado para responder o impugnar en sede administrativa, </w:t>
      </w:r>
      <w:r w:rsidRPr="009E68BE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lang w:eastAsia="es-419"/>
        </w:rPr>
        <w:t>comenzarán a correr transcurridos cinco (5) días </w:t>
      </w:r>
      <w:r w:rsidRPr="009E68BE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u w:val="single"/>
          <w:lang w:eastAsia="es-419"/>
        </w:rPr>
        <w:t>a partir de</w:t>
      </w:r>
      <w:r w:rsidRPr="009E68BE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lang w:eastAsia="es-419"/>
        </w:rPr>
        <w:t> la entrega del correo electrónico”</w:t>
      </w:r>
      <w:r w:rsidRPr="009E68BE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es-419"/>
        </w:rPr>
        <w:t>.</w:t>
      </w:r>
      <w:r w:rsidRPr="009E68BE"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  <w:t> (Subrayado y negrilla fuera de texto).</w:t>
      </w:r>
    </w:p>
    <w:p w14:paraId="7815A76F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71C55265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Atendiendo lo consagrado en el artículo 28 del Código Civil, de acuerdo con el cual </w:t>
      </w:r>
      <w:r w:rsidRPr="009E68BE">
        <w:rPr>
          <w:rFonts w:ascii="Times New Roman" w:eastAsia="Times New Roman" w:hAnsi="Times New Roman" w:cs="Times New Roman"/>
          <w:i/>
          <w:iCs/>
          <w:color w:val="000000"/>
          <w:lang w:eastAsia="es-419"/>
        </w:rPr>
        <w:t>“Las palabras de la ley se entenderán en su </w:t>
      </w:r>
      <w:r w:rsidRPr="009E68B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419"/>
        </w:rPr>
        <w:t>sentido natural y obvio</w:t>
      </w:r>
      <w:r w:rsidRPr="009E68BE">
        <w:rPr>
          <w:rFonts w:ascii="Times New Roman" w:eastAsia="Times New Roman" w:hAnsi="Times New Roman" w:cs="Times New Roman"/>
          <w:i/>
          <w:iCs/>
          <w:color w:val="000000"/>
          <w:lang w:eastAsia="es-419"/>
        </w:rPr>
        <w:t>, según el uso general de las mismas palabras” </w:t>
      </w: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 xml:space="preserve">(negrilla fuera de texto), para esta Subdirección la locución “a partir de” denota un punto de partida, equiparable -si se quiere- a la preposición “desde”. </w:t>
      </w:r>
      <w:r w:rsidRPr="009E68BE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eastAsia="es-419"/>
        </w:rPr>
        <w:t>Por lo tanto, los cinco (5) días de que trata el inciso 3° del </w:t>
      </w:r>
      <w:hyperlink r:id="rId8" w:tooltip="Estatuto Tributario CETA" w:history="1">
        <w:r w:rsidRPr="009E68BE">
          <w:rPr>
            <w:rFonts w:ascii="Times New Roman" w:eastAsia="Times New Roman" w:hAnsi="Times New Roman" w:cs="Times New Roman"/>
            <w:color w:val="0645AD"/>
            <w:sz w:val="32"/>
            <w:szCs w:val="32"/>
            <w:highlight w:val="yellow"/>
            <w:u w:val="single"/>
            <w:lang w:eastAsia="es-419"/>
          </w:rPr>
          <w:t>artículo 566-1</w:t>
        </w:r>
      </w:hyperlink>
      <w:r w:rsidRPr="009E68BE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eastAsia="es-419"/>
        </w:rPr>
        <w:t> </w:t>
      </w:r>
      <w:r w:rsidRPr="009E68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highlight w:val="yellow"/>
          <w:lang w:eastAsia="es-419"/>
        </w:rPr>
        <w:t>ibídem</w:t>
      </w:r>
      <w:r w:rsidRPr="009E68BE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eastAsia="es-419"/>
        </w:rPr>
        <w:t> se deben contar teniendo en cuenta el mismo día de entrega del correo electrónico.</w:t>
      </w:r>
    </w:p>
    <w:p w14:paraId="39F6DD4F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4E94F9D6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eastAsia="es-419"/>
        </w:rPr>
        <w:t>Si el legislador hubiese pretendido que dicho conteo se realizara desde el día siguiente a la referida entrega habría empleado expresiones como “cinco (5) días siguientes a la entrega” o “cinco (5) días a partir del día siguiente a la entrega”.</w:t>
      </w:r>
    </w:p>
    <w:p w14:paraId="4441744A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1E1703CA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Aunado a lo señalado, es de advertir que </w:t>
      </w:r>
      <w:r w:rsidRPr="009E68BE">
        <w:rPr>
          <w:rFonts w:ascii="Times New Roman" w:eastAsia="Times New Roman" w:hAnsi="Times New Roman" w:cs="Times New Roman"/>
          <w:i/>
          <w:iCs/>
          <w:color w:val="000000"/>
          <w:lang w:eastAsia="es-419"/>
        </w:rPr>
        <w:t>“En los plazos de días que se señalen en las leyes (...) </w:t>
      </w:r>
      <w:r w:rsidRPr="009E68B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419"/>
        </w:rPr>
        <w:t>se entienden suprimidos los feriados y de vacantes</w:t>
      </w:r>
      <w:r w:rsidRPr="009E68BE">
        <w:rPr>
          <w:rFonts w:ascii="Times New Roman" w:eastAsia="Times New Roman" w:hAnsi="Times New Roman" w:cs="Times New Roman"/>
          <w:i/>
          <w:iCs/>
          <w:color w:val="000000"/>
          <w:lang w:eastAsia="es-419"/>
        </w:rPr>
        <w:t>, a menos de expresarse lo contrario”</w:t>
      </w: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(negrilla fuera de texto), de conformidad con el artículo 62 de la Ley 4 de 1913 (sobre régimen político y municipal).</w:t>
      </w:r>
    </w:p>
    <w:p w14:paraId="73F92C1B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391DEBD7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eastAsia="es-419"/>
        </w:rPr>
        <w:t>A la par, el artículo 59 de la misma Ley 4 indica:</w:t>
      </w:r>
    </w:p>
    <w:p w14:paraId="4BED5D76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eastAsia="es-419"/>
        </w:rPr>
        <w:t> </w:t>
      </w:r>
    </w:p>
    <w:p w14:paraId="6C276735" w14:textId="77777777" w:rsidR="00A01037" w:rsidRPr="009E68BE" w:rsidRDefault="00A01037" w:rsidP="009E68BE">
      <w:pPr>
        <w:ind w:left="284"/>
        <w:rPr>
          <w:rFonts w:ascii="Times New Roman" w:eastAsia="Times New Roman" w:hAnsi="Times New Roman" w:cs="Times New Roman"/>
          <w:color w:val="000000"/>
          <w:sz w:val="32"/>
          <w:szCs w:val="32"/>
          <w:lang w:eastAsia="es-419"/>
        </w:rPr>
      </w:pPr>
      <w:r w:rsidRPr="009E68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highlight w:val="yellow"/>
          <w:lang w:eastAsia="es-419"/>
        </w:rPr>
        <w:t>“Todos los plazos de días, meses o años, de que se haga mención legal, se entenderán que </w:t>
      </w:r>
      <w:r w:rsidRPr="009E68B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highlight w:val="yellow"/>
          <w:lang w:eastAsia="es-419"/>
        </w:rPr>
        <w:t>terminan a la medianoche del último día del plazo</w:t>
      </w:r>
      <w:r w:rsidRPr="009E68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highlight w:val="yellow"/>
          <w:lang w:eastAsia="es-419"/>
        </w:rPr>
        <w:t>. Por año y por mes se entienden los del calendario común, y por día el espacio de veinticuatro horas (...)”.</w:t>
      </w:r>
      <w:r w:rsidRPr="009E68BE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eastAsia="es-419"/>
        </w:rPr>
        <w:t> (Negrilla fuera de texto).</w:t>
      </w:r>
    </w:p>
    <w:p w14:paraId="3EAF594F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68020BAE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  <w:t>Asimismo, el artículo 60 </w:t>
      </w:r>
      <w:r w:rsidRPr="009E68BE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es-419"/>
        </w:rPr>
        <w:t>ibídem</w:t>
      </w:r>
      <w:r w:rsidRPr="009E68BE"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  <w:t> precisa:</w:t>
      </w:r>
    </w:p>
    <w:p w14:paraId="31870633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  <w:t> </w:t>
      </w:r>
    </w:p>
    <w:p w14:paraId="2405B343" w14:textId="77777777" w:rsidR="00A01037" w:rsidRPr="009E68BE" w:rsidRDefault="00A01037" w:rsidP="009E68BE">
      <w:pPr>
        <w:ind w:left="284"/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</w:pPr>
      <w:r w:rsidRPr="009E68BE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es-419"/>
        </w:rPr>
        <w:lastRenderedPageBreak/>
        <w:t>“(...) Cuando se exige que haya transcurrido un espacio de tiempo para que nazcan o expiren ciertos derechos, se entenderá que estos derechos </w:t>
      </w:r>
      <w:r w:rsidRPr="009E68BE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lang w:eastAsia="es-419"/>
        </w:rPr>
        <w:t>nacen o expiran a la medianoche del día en que termine el respectivo espacio de tiempo</w:t>
      </w:r>
      <w:r w:rsidRPr="009E68BE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es-419"/>
        </w:rPr>
        <w:t>”.</w:t>
      </w:r>
      <w:r w:rsidRPr="009E68BE"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  <w:t> (Negrilla fuera de texto).</w:t>
      </w:r>
    </w:p>
    <w:p w14:paraId="09BAD7ED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  <w:t> </w:t>
      </w:r>
    </w:p>
    <w:p w14:paraId="5FFA569E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  <w:t>Para efectos de ilustrar lo antepuesto, obsérvese el siguiente ejemplo:</w:t>
      </w:r>
    </w:p>
    <w:p w14:paraId="21D9DC18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5"/>
        <w:gridCol w:w="6387"/>
      </w:tblGrid>
      <w:tr w:rsidR="00A01037" w:rsidRPr="009E68BE" w14:paraId="7CB84BA2" w14:textId="77777777" w:rsidTr="00A01037"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DD3F63" w14:textId="77777777" w:rsidR="00A01037" w:rsidRPr="009E68BE" w:rsidRDefault="00A01037" w:rsidP="009E68BE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</w:pPr>
            <w:r w:rsidRPr="009E68BE"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  <w:t>Fecha de entrega del correo electrónico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D59B6B" w14:textId="77777777" w:rsidR="00A01037" w:rsidRPr="009E68BE" w:rsidRDefault="00A01037" w:rsidP="009E68BE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</w:pPr>
            <w:r w:rsidRPr="009E68BE"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  <w:t>Finalización del plazo de cinco (5) días</w:t>
            </w:r>
          </w:p>
        </w:tc>
      </w:tr>
      <w:tr w:rsidR="00A01037" w:rsidRPr="009E68BE" w14:paraId="110C1414" w14:textId="77777777" w:rsidTr="00A01037"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3A781E" w14:textId="77777777" w:rsidR="00A01037" w:rsidRPr="009E68BE" w:rsidRDefault="00A01037" w:rsidP="009E68BE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</w:pPr>
            <w:r w:rsidRPr="009E68BE"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  <w:t>23 de agosto de 2022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1EF0E3" w14:textId="77777777" w:rsidR="00A01037" w:rsidRPr="009E68BE" w:rsidRDefault="00A01037" w:rsidP="009E68BE">
            <w:pPr>
              <w:jc w:val="center"/>
              <w:rPr>
                <w:rFonts w:ascii="Times New Roman" w:eastAsia="Times New Roman" w:hAnsi="Times New Roman" w:cs="Times New Roman"/>
                <w:lang w:eastAsia="es-419"/>
              </w:rPr>
            </w:pPr>
            <w:r w:rsidRPr="009E68BE"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  <w:t>29 de agosto de 2022 ya que los días 27 y 28 de este mes no eran hábiles</w:t>
            </w:r>
          </w:p>
        </w:tc>
      </w:tr>
    </w:tbl>
    <w:p w14:paraId="176AEE0D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7C3B37B2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06D492BE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Ahora, algunas disposiciones establecen un término en meses para dar respuesta al acto administrativo o interponer recursos en contra de este (</w:t>
      </w:r>
      <w:proofErr w:type="spellStart"/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e.g</w:t>
      </w:r>
      <w:proofErr w:type="spellEnd"/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. </w:t>
      </w:r>
      <w:hyperlink r:id="rId9" w:tooltip="Estatuto Tributario CETA" w:history="1">
        <w:r w:rsidRPr="009E68BE">
          <w:rPr>
            <w:rFonts w:ascii="Times New Roman" w:eastAsia="Times New Roman" w:hAnsi="Times New Roman" w:cs="Times New Roman"/>
            <w:color w:val="0645AD"/>
            <w:u w:val="single"/>
            <w:lang w:eastAsia="es-419"/>
          </w:rPr>
          <w:t>artículo 720</w:t>
        </w:r>
      </w:hyperlink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del Estatuto Tributario respecto al recurso de reconsideración), sobre lo cual, además de atender los artículos 59 y 60 de la Ley 4 de 1913 también se debe examinar el artículo 62 </w:t>
      </w:r>
      <w:r w:rsidRPr="009E68BE">
        <w:rPr>
          <w:rFonts w:ascii="Times New Roman" w:eastAsia="Times New Roman" w:hAnsi="Times New Roman" w:cs="Times New Roman"/>
          <w:i/>
          <w:iCs/>
          <w:color w:val="000000"/>
          <w:lang w:eastAsia="es-419"/>
        </w:rPr>
        <w:t>ibídem</w:t>
      </w: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, ya que precisa que los plazos de meses </w:t>
      </w:r>
      <w:r w:rsidRPr="009E68BE">
        <w:rPr>
          <w:rFonts w:ascii="Times New Roman" w:eastAsia="Times New Roman" w:hAnsi="Times New Roman" w:cs="Times New Roman"/>
          <w:i/>
          <w:iCs/>
          <w:color w:val="000000"/>
          <w:lang w:eastAsia="es-419"/>
        </w:rPr>
        <w:t>“se computan según el </w:t>
      </w:r>
      <w:r w:rsidRPr="009E68B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419"/>
        </w:rPr>
        <w:t>calendario</w:t>
      </w:r>
      <w:r w:rsidRPr="009E68BE">
        <w:rPr>
          <w:rFonts w:ascii="Times New Roman" w:eastAsia="Times New Roman" w:hAnsi="Times New Roman" w:cs="Times New Roman"/>
          <w:i/>
          <w:iCs/>
          <w:color w:val="000000"/>
          <w:lang w:eastAsia="es-419"/>
        </w:rPr>
        <w:t>; pero si el último día fuere feriado o de vacante, se extenderá el plazo </w:t>
      </w:r>
      <w:r w:rsidRPr="009E68B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419"/>
        </w:rPr>
        <w:t>hasta el primer día hábil</w:t>
      </w:r>
      <w:r w:rsidRPr="009E68BE">
        <w:rPr>
          <w:rFonts w:ascii="Times New Roman" w:eastAsia="Times New Roman" w:hAnsi="Times New Roman" w:cs="Times New Roman"/>
          <w:i/>
          <w:iCs/>
          <w:color w:val="000000"/>
          <w:lang w:eastAsia="es-419"/>
        </w:rPr>
        <w:t>”</w:t>
      </w: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(negrilla fuera de texto).</w:t>
      </w:r>
    </w:p>
    <w:p w14:paraId="240E25DE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4DCF7AE2" w14:textId="77777777" w:rsidR="00A01037" w:rsidRPr="009E68BE" w:rsidRDefault="00A01037" w:rsidP="009E68BE">
      <w:pPr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es-419"/>
        </w:rPr>
      </w:pPr>
      <w:r w:rsidRPr="009E68BE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es-419"/>
        </w:rPr>
        <w:t>Por ende, el término en meses que disponga la correspondiente disposición se deberá computar una vez transcurrido (o finalizado) el plazo de cinco (5) días de que trata el inciso 3° del </w:t>
      </w:r>
      <w:hyperlink r:id="rId10" w:tooltip="Estatuto Tributario CETA" w:history="1">
        <w:r w:rsidRPr="009E68BE">
          <w:rPr>
            <w:rFonts w:ascii="Times New Roman" w:eastAsia="Times New Roman" w:hAnsi="Times New Roman" w:cs="Times New Roman"/>
            <w:b/>
            <w:bCs/>
            <w:color w:val="0645AD"/>
            <w:highlight w:val="yellow"/>
            <w:u w:val="single"/>
            <w:lang w:eastAsia="es-419"/>
          </w:rPr>
          <w:t>artículo 566-1</w:t>
        </w:r>
      </w:hyperlink>
      <w:r w:rsidRPr="009E68BE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es-419"/>
        </w:rPr>
        <w:t> del Estatuto Tributario.</w:t>
      </w:r>
    </w:p>
    <w:p w14:paraId="2BAA03A6" w14:textId="77777777" w:rsidR="00A01037" w:rsidRPr="009E68BE" w:rsidRDefault="00A01037" w:rsidP="009E68BE">
      <w:pPr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es-419"/>
        </w:rPr>
      </w:pPr>
      <w:r w:rsidRPr="009E68BE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es-419"/>
        </w:rPr>
        <w:t> </w:t>
      </w:r>
    </w:p>
    <w:p w14:paraId="345ABF16" w14:textId="77777777" w:rsidR="00A01037" w:rsidRPr="009E68BE" w:rsidRDefault="00A01037" w:rsidP="009E68BE">
      <w:pPr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es-419"/>
        </w:rPr>
      </w:pPr>
      <w:r w:rsidRPr="009E68BE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es-419"/>
        </w:rPr>
        <w:t>Continuando con el mismo ejemplo:</w:t>
      </w:r>
    </w:p>
    <w:p w14:paraId="18618949" w14:textId="77777777" w:rsidR="00A01037" w:rsidRPr="009E68BE" w:rsidRDefault="00A01037" w:rsidP="009E68BE">
      <w:pPr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es-419"/>
        </w:rPr>
      </w:pPr>
      <w:r w:rsidRPr="009E68BE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es-419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5"/>
        <w:gridCol w:w="6537"/>
      </w:tblGrid>
      <w:tr w:rsidR="00A01037" w:rsidRPr="009E68BE" w14:paraId="5A54310D" w14:textId="77777777" w:rsidTr="00A01037"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DC6446" w14:textId="77777777" w:rsidR="00A01037" w:rsidRPr="009E68BE" w:rsidRDefault="00A01037" w:rsidP="009E68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s-419"/>
              </w:rPr>
            </w:pPr>
            <w:r w:rsidRPr="009E68BE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s-419"/>
              </w:rPr>
              <w:t>Finalización del plazo de cinco (5) días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FFB875" w14:textId="77777777" w:rsidR="00A01037" w:rsidRPr="009E68BE" w:rsidRDefault="00A01037" w:rsidP="009E68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s-419"/>
              </w:rPr>
            </w:pPr>
            <w:r w:rsidRPr="009E68BE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s-419"/>
              </w:rPr>
              <w:t>Finalización del término general para interponer recurso de reconsideración</w:t>
            </w:r>
          </w:p>
        </w:tc>
      </w:tr>
      <w:tr w:rsidR="00A01037" w:rsidRPr="009E68BE" w14:paraId="04F84641" w14:textId="77777777" w:rsidTr="00A01037"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EAA3AD" w14:textId="77777777" w:rsidR="00A01037" w:rsidRPr="009E68BE" w:rsidRDefault="00A01037" w:rsidP="009E68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s-419"/>
              </w:rPr>
            </w:pPr>
            <w:r w:rsidRPr="009E68BE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s-419"/>
              </w:rPr>
              <w:t>29 de agosto de 2022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960986" w14:textId="77777777" w:rsidR="00A01037" w:rsidRPr="009E68BE" w:rsidRDefault="00A01037" w:rsidP="009E68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419"/>
              </w:rPr>
            </w:pPr>
            <w:r w:rsidRPr="009E68BE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s-419"/>
              </w:rPr>
              <w:t>31 de octubre de 2022 ya que el día 30 de este mes no es hábil</w:t>
            </w:r>
          </w:p>
        </w:tc>
      </w:tr>
    </w:tbl>
    <w:p w14:paraId="43ABE6A8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34BC99F7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2FE33388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3A3CA9BF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Atentamente,</w:t>
      </w:r>
    </w:p>
    <w:p w14:paraId="4448C6D9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37015118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4890CC87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b/>
          <w:bCs/>
          <w:color w:val="000000"/>
          <w:lang w:eastAsia="es-419"/>
        </w:rPr>
        <w:t>NICOLÁS BERNAL ABELLA</w:t>
      </w:r>
    </w:p>
    <w:p w14:paraId="76032378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Subdirector de Normativa y Doctrina (E)</w:t>
      </w:r>
    </w:p>
    <w:p w14:paraId="717496EC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Dirección de Gestión Jurídica</w:t>
      </w:r>
    </w:p>
    <w:p w14:paraId="20CEBDF8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UAE-Dirección de Impuestos y Aduanas Nacionales</w:t>
      </w:r>
    </w:p>
    <w:p w14:paraId="49D14C05" w14:textId="77777777" w:rsidR="002F3F02" w:rsidRPr="009E68BE" w:rsidRDefault="002F3F02" w:rsidP="009E68BE">
      <w:pPr>
        <w:rPr>
          <w:rFonts w:ascii="Times New Roman" w:hAnsi="Times New Roman" w:cs="Times New Roman"/>
        </w:rPr>
      </w:pPr>
    </w:p>
    <w:sectPr w:rsidR="002F3F02" w:rsidRPr="009E68BE" w:rsidSect="00A613E5">
      <w:pgSz w:w="12189" w:h="18709" w:code="10000"/>
      <w:pgMar w:top="1077" w:right="107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60C40"/>
    <w:multiLevelType w:val="multilevel"/>
    <w:tmpl w:val="580A001D"/>
    <w:styleLink w:val="DEMANDAS"/>
    <w:lvl w:ilvl="0">
      <w:start w:val="1"/>
      <w:numFmt w:val="decimal"/>
      <w:lvlText w:val="%1)"/>
      <w:lvlJc w:val="left"/>
      <w:pPr>
        <w:ind w:left="360" w:hanging="360"/>
      </w:pPr>
      <w:rPr>
        <w:rFonts w:ascii="Century Gothic" w:hAnsi="Century Gothic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80684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37"/>
    <w:rsid w:val="002F3F02"/>
    <w:rsid w:val="004A489D"/>
    <w:rsid w:val="004F1D2E"/>
    <w:rsid w:val="005173B2"/>
    <w:rsid w:val="00715782"/>
    <w:rsid w:val="00840411"/>
    <w:rsid w:val="00885E73"/>
    <w:rsid w:val="009705EC"/>
    <w:rsid w:val="009E68BE"/>
    <w:rsid w:val="00A01037"/>
    <w:rsid w:val="00A613E5"/>
    <w:rsid w:val="00A91F78"/>
    <w:rsid w:val="00AE7AD8"/>
    <w:rsid w:val="00B21583"/>
    <w:rsid w:val="00B76269"/>
    <w:rsid w:val="00BE074B"/>
    <w:rsid w:val="00CA1F22"/>
    <w:rsid w:val="00CC19F3"/>
    <w:rsid w:val="00C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9AFA"/>
  <w15:chartTrackingRefBased/>
  <w15:docId w15:val="{7AF9915C-33E0-4FB0-802C-CA3EFC99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Arial"/>
        <w:sz w:val="24"/>
        <w:szCs w:val="24"/>
        <w:lang w:val="es-419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D9A"/>
  </w:style>
  <w:style w:type="paragraph" w:styleId="Ttulo1">
    <w:name w:val="heading 1"/>
    <w:basedOn w:val="Normal"/>
    <w:next w:val="Normal"/>
    <w:link w:val="Ttulo1Car"/>
    <w:uiPriority w:val="9"/>
    <w:qFormat/>
    <w:rsid w:val="00CC2D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2D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DEMANDAS">
    <w:name w:val="DEMANDAS"/>
    <w:uiPriority w:val="99"/>
    <w:rsid w:val="00885E73"/>
    <w:pPr>
      <w:numPr>
        <w:numId w:val="1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CC2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2D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CC2D9A"/>
    <w:rPr>
      <w:b/>
      <w:bCs/>
    </w:rPr>
  </w:style>
  <w:style w:type="paragraph" w:styleId="Prrafodelista">
    <w:name w:val="List Paragraph"/>
    <w:basedOn w:val="Normal"/>
    <w:uiPriority w:val="34"/>
    <w:qFormat/>
    <w:rsid w:val="00CC2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ta.org.co/html/vista_de_un_articulo.asp?Norma=160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ta.org.co/html/vista_de_un_articulo.asp?Norma=1603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ta.org.co/html/vista_de_un_articulo.asp?Norma=1603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eta.org.co/html/vista_de_un_articulo.asp?Norma=16035" TargetMode="External"/><Relationship Id="rId10" Type="http://schemas.openxmlformats.org/officeDocument/2006/relationships/hyperlink" Target="https://www.ceta.org.co/html/vista_de_un_articulo.asp?Norma=160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ta.org.co/html/vista_de_un_articulo.asp?Norma=89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Alexandra Orozco López</dc:creator>
  <cp:keywords/>
  <dc:description/>
  <cp:lastModifiedBy>Guillermo Alzate Duque</cp:lastModifiedBy>
  <cp:revision>2</cp:revision>
  <dcterms:created xsi:type="dcterms:W3CDTF">2023-02-10T20:48:00Z</dcterms:created>
  <dcterms:modified xsi:type="dcterms:W3CDTF">2023-02-10T20:48:00Z</dcterms:modified>
</cp:coreProperties>
</file>