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1BF37" w14:textId="77777777" w:rsidR="00083B9C" w:rsidRPr="00083B9C" w:rsidRDefault="00083B9C" w:rsidP="00083B9C">
      <w:pPr>
        <w:spacing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es-419"/>
        </w:rPr>
      </w:pPr>
      <w:r w:rsidRPr="00083B9C">
        <w:rPr>
          <w:rFonts w:ascii="Segoe UI" w:eastAsia="Times New Roman" w:hAnsi="Segoe UI" w:cs="Segoe UI"/>
          <w:b/>
          <w:bCs/>
          <w:color w:val="0000FF"/>
          <w:sz w:val="28"/>
          <w:szCs w:val="28"/>
          <w:lang w:eastAsia="es-419"/>
        </w:rPr>
        <w:t xml:space="preserve">OFICIO </w:t>
      </w:r>
      <w:proofErr w:type="spellStart"/>
      <w:r w:rsidRPr="00083B9C">
        <w:rPr>
          <w:rFonts w:ascii="Segoe UI" w:eastAsia="Times New Roman" w:hAnsi="Segoe UI" w:cs="Segoe UI"/>
          <w:b/>
          <w:bCs/>
          <w:color w:val="0000FF"/>
          <w:sz w:val="28"/>
          <w:szCs w:val="28"/>
          <w:lang w:eastAsia="es-419"/>
        </w:rPr>
        <w:t>Nº</w:t>
      </w:r>
      <w:proofErr w:type="spellEnd"/>
      <w:r w:rsidRPr="00083B9C">
        <w:rPr>
          <w:rFonts w:ascii="Segoe UI" w:eastAsia="Times New Roman" w:hAnsi="Segoe UI" w:cs="Segoe UI"/>
          <w:b/>
          <w:bCs/>
          <w:color w:val="0000FF"/>
          <w:sz w:val="28"/>
          <w:szCs w:val="28"/>
          <w:lang w:eastAsia="es-419"/>
        </w:rPr>
        <w:t xml:space="preserve"> 1013 [906182]</w:t>
      </w:r>
    </w:p>
    <w:p w14:paraId="68D16131" w14:textId="77777777" w:rsidR="00083B9C" w:rsidRPr="00083B9C" w:rsidRDefault="00083B9C" w:rsidP="00083B9C">
      <w:pPr>
        <w:spacing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es-419"/>
        </w:rPr>
      </w:pPr>
      <w:r w:rsidRPr="00083B9C">
        <w:rPr>
          <w:rFonts w:ascii="Segoe UI" w:eastAsia="Times New Roman" w:hAnsi="Segoe UI" w:cs="Segoe UI"/>
          <w:b/>
          <w:bCs/>
          <w:color w:val="0000FF"/>
          <w:sz w:val="28"/>
          <w:szCs w:val="28"/>
          <w:lang w:eastAsia="es-419"/>
        </w:rPr>
        <w:t>10-08-2022</w:t>
      </w:r>
    </w:p>
    <w:p w14:paraId="438A8831" w14:textId="77777777" w:rsidR="00083B9C" w:rsidRPr="00083B9C" w:rsidRDefault="00083B9C" w:rsidP="00083B9C">
      <w:pPr>
        <w:spacing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es-419"/>
        </w:rPr>
      </w:pPr>
      <w:r w:rsidRPr="00083B9C">
        <w:rPr>
          <w:rFonts w:ascii="Segoe UI" w:eastAsia="Times New Roman" w:hAnsi="Segoe UI" w:cs="Segoe UI"/>
          <w:b/>
          <w:bCs/>
          <w:color w:val="0000FF"/>
          <w:sz w:val="28"/>
          <w:szCs w:val="28"/>
          <w:lang w:eastAsia="es-419"/>
        </w:rPr>
        <w:t>DIAN</w:t>
      </w:r>
    </w:p>
    <w:p w14:paraId="34978F27" w14:textId="77777777" w:rsidR="00083B9C" w:rsidRPr="00083B9C" w:rsidRDefault="00083B9C" w:rsidP="00083B9C">
      <w:pPr>
        <w:spacing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s-419"/>
        </w:rPr>
      </w:pPr>
      <w:r w:rsidRPr="00083B9C">
        <w:rPr>
          <w:rFonts w:ascii="Segoe UI" w:eastAsia="Times New Roman" w:hAnsi="Segoe UI" w:cs="Segoe UI"/>
          <w:color w:val="000000"/>
          <w:sz w:val="22"/>
          <w:szCs w:val="22"/>
          <w:lang w:eastAsia="es-419"/>
        </w:rPr>
        <w:t> </w:t>
      </w:r>
    </w:p>
    <w:p w14:paraId="355B8C5B" w14:textId="77777777" w:rsidR="00083B9C" w:rsidRPr="00083B9C" w:rsidRDefault="00083B9C" w:rsidP="00083B9C">
      <w:pPr>
        <w:spacing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s-419"/>
        </w:rPr>
      </w:pPr>
      <w:r w:rsidRPr="00083B9C">
        <w:rPr>
          <w:rFonts w:ascii="Segoe UI" w:eastAsia="Times New Roman" w:hAnsi="Segoe UI" w:cs="Segoe UI"/>
          <w:color w:val="000000"/>
          <w:sz w:val="22"/>
          <w:szCs w:val="22"/>
          <w:lang w:eastAsia="es-419"/>
        </w:rPr>
        <w:t> </w:t>
      </w:r>
    </w:p>
    <w:p w14:paraId="142459F3" w14:textId="77777777" w:rsidR="00083B9C" w:rsidRPr="00083B9C" w:rsidRDefault="00083B9C" w:rsidP="00083B9C">
      <w:pPr>
        <w:spacing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s-419"/>
        </w:rPr>
      </w:pPr>
      <w:r w:rsidRPr="00083B9C">
        <w:rPr>
          <w:rFonts w:ascii="Segoe UI" w:eastAsia="Times New Roman" w:hAnsi="Segoe UI" w:cs="Segoe UI"/>
          <w:color w:val="000000"/>
          <w:sz w:val="22"/>
          <w:szCs w:val="22"/>
          <w:lang w:eastAsia="es-419"/>
        </w:rPr>
        <w:t>Subdirección de Normativa y Doctrina</w:t>
      </w:r>
    </w:p>
    <w:p w14:paraId="519B7F6A" w14:textId="77777777" w:rsidR="00083B9C" w:rsidRPr="00083B9C" w:rsidRDefault="00083B9C" w:rsidP="00083B9C">
      <w:pPr>
        <w:spacing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s-419"/>
        </w:rPr>
      </w:pPr>
      <w:r w:rsidRPr="00083B9C">
        <w:rPr>
          <w:rFonts w:ascii="Segoe UI" w:eastAsia="Times New Roman" w:hAnsi="Segoe UI" w:cs="Segoe UI"/>
          <w:color w:val="000000"/>
          <w:sz w:val="22"/>
          <w:szCs w:val="22"/>
          <w:lang w:eastAsia="es-419"/>
        </w:rPr>
        <w:t>100208192-1013</w:t>
      </w:r>
    </w:p>
    <w:p w14:paraId="5573F1EE" w14:textId="77777777" w:rsidR="00083B9C" w:rsidRPr="00083B9C" w:rsidRDefault="00083B9C" w:rsidP="00083B9C">
      <w:pPr>
        <w:spacing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s-419"/>
        </w:rPr>
      </w:pPr>
      <w:r w:rsidRPr="00083B9C">
        <w:rPr>
          <w:rFonts w:ascii="Segoe UI" w:eastAsia="Times New Roman" w:hAnsi="Segoe UI" w:cs="Segoe UI"/>
          <w:color w:val="000000"/>
          <w:sz w:val="22"/>
          <w:szCs w:val="22"/>
          <w:lang w:eastAsia="es-419"/>
        </w:rPr>
        <w:t>Bogotá, D.C.</w:t>
      </w:r>
    </w:p>
    <w:p w14:paraId="5C150AEE" w14:textId="77777777" w:rsidR="00083B9C" w:rsidRPr="00083B9C" w:rsidRDefault="00083B9C" w:rsidP="00083B9C">
      <w:pPr>
        <w:spacing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s-419"/>
        </w:rPr>
      </w:pPr>
      <w:r w:rsidRPr="00083B9C">
        <w:rPr>
          <w:rFonts w:ascii="Segoe UI" w:eastAsia="Times New Roman" w:hAnsi="Segoe UI" w:cs="Segoe UI"/>
          <w:color w:val="000000"/>
          <w:sz w:val="21"/>
          <w:szCs w:val="21"/>
          <w:lang w:val="es-ES" w:eastAsia="es-419"/>
        </w:rPr>
        <w:t> </w:t>
      </w:r>
    </w:p>
    <w:p w14:paraId="2E5133A3" w14:textId="77777777" w:rsidR="00083B9C" w:rsidRPr="00083B9C" w:rsidRDefault="00083B9C" w:rsidP="00083B9C">
      <w:pPr>
        <w:spacing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s-419"/>
        </w:rPr>
      </w:pPr>
      <w:r w:rsidRPr="00083B9C">
        <w:rPr>
          <w:rFonts w:ascii="Segoe UI" w:eastAsia="Times New Roman" w:hAnsi="Segoe UI" w:cs="Segoe UI"/>
          <w:color w:val="000000"/>
          <w:sz w:val="21"/>
          <w:szCs w:val="21"/>
          <w:lang w:val="es-ES" w:eastAsia="es-419"/>
        </w:rPr>
        <w:t> </w:t>
      </w:r>
    </w:p>
    <w:tbl>
      <w:tblPr>
        <w:tblW w:w="92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7"/>
        <w:gridCol w:w="274"/>
        <w:gridCol w:w="274"/>
        <w:gridCol w:w="6415"/>
      </w:tblGrid>
      <w:tr w:rsidR="00083B9C" w:rsidRPr="00083B9C" w14:paraId="7A994175" w14:textId="77777777" w:rsidTr="00083B9C"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6D29F" w14:textId="77777777" w:rsidR="00083B9C" w:rsidRPr="00083B9C" w:rsidRDefault="00083B9C" w:rsidP="00083B9C">
            <w:pPr>
              <w:spacing w:line="240" w:lineRule="auto"/>
              <w:rPr>
                <w:rFonts w:ascii="Segoe UI" w:eastAsia="Times New Roman" w:hAnsi="Segoe UI" w:cs="Segoe UI"/>
                <w:sz w:val="21"/>
                <w:szCs w:val="21"/>
                <w:lang w:eastAsia="es-419"/>
              </w:rPr>
            </w:pPr>
            <w:r w:rsidRPr="00083B9C">
              <w:rPr>
                <w:rFonts w:ascii="Segoe UI" w:eastAsia="Times New Roman" w:hAnsi="Segoe UI" w:cs="Segoe UI"/>
                <w:b/>
                <w:bCs/>
                <w:sz w:val="21"/>
                <w:szCs w:val="21"/>
                <w:lang w:eastAsia="es-419"/>
              </w:rPr>
              <w:t>Tema: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B18DE" w14:textId="77777777" w:rsidR="00083B9C" w:rsidRPr="00083B9C" w:rsidRDefault="00083B9C" w:rsidP="00083B9C">
            <w:pPr>
              <w:spacing w:line="240" w:lineRule="auto"/>
              <w:rPr>
                <w:rFonts w:ascii="Segoe UI" w:eastAsia="Times New Roman" w:hAnsi="Segoe UI" w:cs="Segoe UI"/>
                <w:sz w:val="21"/>
                <w:szCs w:val="21"/>
                <w:lang w:eastAsia="es-419"/>
              </w:rPr>
            </w:pPr>
            <w:r w:rsidRPr="00083B9C">
              <w:rPr>
                <w:rFonts w:ascii="Segoe UI" w:eastAsia="Times New Roman" w:hAnsi="Segoe UI" w:cs="Segoe UI"/>
                <w:sz w:val="21"/>
                <w:szCs w:val="21"/>
                <w:lang w:val="es-ES" w:eastAsia="es-419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5E746" w14:textId="77777777" w:rsidR="00083B9C" w:rsidRPr="00083B9C" w:rsidRDefault="00083B9C" w:rsidP="00083B9C">
            <w:pPr>
              <w:spacing w:line="240" w:lineRule="auto"/>
              <w:rPr>
                <w:rFonts w:ascii="Segoe UI" w:eastAsia="Times New Roman" w:hAnsi="Segoe UI" w:cs="Segoe UI"/>
                <w:sz w:val="21"/>
                <w:szCs w:val="21"/>
                <w:lang w:eastAsia="es-419"/>
              </w:rPr>
            </w:pPr>
            <w:r w:rsidRPr="00083B9C">
              <w:rPr>
                <w:rFonts w:ascii="Segoe UI" w:eastAsia="Times New Roman" w:hAnsi="Segoe UI" w:cs="Segoe UI"/>
                <w:sz w:val="21"/>
                <w:szCs w:val="21"/>
                <w:lang w:val="es-ES" w:eastAsia="es-419"/>
              </w:rPr>
              <w:t> </w:t>
            </w:r>
          </w:p>
        </w:tc>
        <w:tc>
          <w:tcPr>
            <w:tcW w:w="6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62E1D" w14:textId="77777777" w:rsidR="00083B9C" w:rsidRPr="00083B9C" w:rsidRDefault="00083B9C" w:rsidP="00083B9C">
            <w:pPr>
              <w:spacing w:line="240" w:lineRule="auto"/>
              <w:rPr>
                <w:rFonts w:ascii="Segoe UI" w:eastAsia="Times New Roman" w:hAnsi="Segoe UI" w:cs="Segoe UI"/>
                <w:sz w:val="21"/>
                <w:szCs w:val="21"/>
                <w:lang w:eastAsia="es-419"/>
              </w:rPr>
            </w:pPr>
            <w:r w:rsidRPr="00083B9C">
              <w:rPr>
                <w:rFonts w:ascii="Segoe UI" w:eastAsia="Times New Roman" w:hAnsi="Segoe UI" w:cs="Segoe UI"/>
                <w:sz w:val="21"/>
                <w:szCs w:val="21"/>
                <w:lang w:eastAsia="es-419"/>
              </w:rPr>
              <w:t>Impuesto sobre las ventas</w:t>
            </w:r>
          </w:p>
          <w:p w14:paraId="3153E587" w14:textId="77777777" w:rsidR="00083B9C" w:rsidRPr="00083B9C" w:rsidRDefault="00083B9C" w:rsidP="00083B9C">
            <w:pPr>
              <w:spacing w:line="240" w:lineRule="auto"/>
              <w:rPr>
                <w:rFonts w:ascii="Segoe UI" w:eastAsia="Times New Roman" w:hAnsi="Segoe UI" w:cs="Segoe UI"/>
                <w:sz w:val="21"/>
                <w:szCs w:val="21"/>
                <w:lang w:eastAsia="es-419"/>
              </w:rPr>
            </w:pPr>
            <w:r w:rsidRPr="00083B9C">
              <w:rPr>
                <w:rFonts w:ascii="Segoe UI" w:eastAsia="Times New Roman" w:hAnsi="Segoe UI" w:cs="Segoe UI"/>
                <w:sz w:val="21"/>
                <w:szCs w:val="21"/>
                <w:lang w:eastAsia="es-419"/>
              </w:rPr>
              <w:t>Procedimiento tributario</w:t>
            </w:r>
          </w:p>
        </w:tc>
      </w:tr>
      <w:tr w:rsidR="00083B9C" w:rsidRPr="00083B9C" w14:paraId="53DD0F63" w14:textId="77777777" w:rsidTr="00083B9C"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12867" w14:textId="77777777" w:rsidR="00083B9C" w:rsidRPr="00083B9C" w:rsidRDefault="00083B9C" w:rsidP="00083B9C">
            <w:pPr>
              <w:spacing w:line="240" w:lineRule="auto"/>
              <w:rPr>
                <w:rFonts w:ascii="Segoe UI" w:eastAsia="Times New Roman" w:hAnsi="Segoe UI" w:cs="Segoe UI"/>
                <w:sz w:val="21"/>
                <w:szCs w:val="21"/>
                <w:lang w:eastAsia="es-419"/>
              </w:rPr>
            </w:pPr>
            <w:r w:rsidRPr="00083B9C">
              <w:rPr>
                <w:rFonts w:ascii="Segoe UI" w:eastAsia="Times New Roman" w:hAnsi="Segoe UI" w:cs="Segoe UI"/>
                <w:b/>
                <w:bCs/>
                <w:sz w:val="21"/>
                <w:szCs w:val="21"/>
                <w:lang w:eastAsia="es-419"/>
              </w:rPr>
              <w:t>Descriptores: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7DDD8" w14:textId="77777777" w:rsidR="00083B9C" w:rsidRPr="00083B9C" w:rsidRDefault="00083B9C" w:rsidP="00083B9C">
            <w:pPr>
              <w:spacing w:line="240" w:lineRule="auto"/>
              <w:rPr>
                <w:rFonts w:ascii="Segoe UI" w:eastAsia="Times New Roman" w:hAnsi="Segoe UI" w:cs="Segoe UI"/>
                <w:sz w:val="21"/>
                <w:szCs w:val="21"/>
                <w:lang w:eastAsia="es-419"/>
              </w:rPr>
            </w:pPr>
            <w:r w:rsidRPr="00083B9C">
              <w:rPr>
                <w:rFonts w:ascii="Segoe UI" w:eastAsia="Times New Roman" w:hAnsi="Segoe UI" w:cs="Segoe UI"/>
                <w:sz w:val="21"/>
                <w:szCs w:val="21"/>
                <w:lang w:val="es-ES" w:eastAsia="es-419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68CEB" w14:textId="77777777" w:rsidR="00083B9C" w:rsidRPr="00083B9C" w:rsidRDefault="00083B9C" w:rsidP="00083B9C">
            <w:pPr>
              <w:spacing w:line="240" w:lineRule="auto"/>
              <w:rPr>
                <w:rFonts w:ascii="Segoe UI" w:eastAsia="Times New Roman" w:hAnsi="Segoe UI" w:cs="Segoe UI"/>
                <w:sz w:val="21"/>
                <w:szCs w:val="21"/>
                <w:lang w:eastAsia="es-419"/>
              </w:rPr>
            </w:pPr>
            <w:r w:rsidRPr="00083B9C">
              <w:rPr>
                <w:rFonts w:ascii="Segoe UI" w:eastAsia="Times New Roman" w:hAnsi="Segoe UI" w:cs="Segoe UI"/>
                <w:sz w:val="21"/>
                <w:szCs w:val="21"/>
                <w:lang w:val="es-ES" w:eastAsia="es-419"/>
              </w:rPr>
              <w:t> </w:t>
            </w:r>
          </w:p>
        </w:tc>
        <w:tc>
          <w:tcPr>
            <w:tcW w:w="6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91154" w14:textId="77777777" w:rsidR="00083B9C" w:rsidRPr="00083B9C" w:rsidRDefault="00083B9C" w:rsidP="00083B9C">
            <w:pPr>
              <w:spacing w:line="240" w:lineRule="auto"/>
              <w:rPr>
                <w:rFonts w:ascii="Segoe UI" w:eastAsia="Times New Roman" w:hAnsi="Segoe UI" w:cs="Segoe UI"/>
                <w:sz w:val="21"/>
                <w:szCs w:val="21"/>
                <w:lang w:eastAsia="es-419"/>
              </w:rPr>
            </w:pPr>
            <w:r w:rsidRPr="00083B9C">
              <w:rPr>
                <w:rFonts w:ascii="Segoe UI" w:eastAsia="Times New Roman" w:hAnsi="Segoe UI" w:cs="Segoe UI"/>
                <w:sz w:val="21"/>
                <w:szCs w:val="21"/>
                <w:lang w:eastAsia="es-419"/>
              </w:rPr>
              <w:t>Servicios exentos</w:t>
            </w:r>
          </w:p>
          <w:p w14:paraId="21EA83F5" w14:textId="77777777" w:rsidR="00083B9C" w:rsidRPr="00083B9C" w:rsidRDefault="00083B9C" w:rsidP="00083B9C">
            <w:pPr>
              <w:spacing w:line="240" w:lineRule="auto"/>
              <w:rPr>
                <w:rFonts w:ascii="Segoe UI" w:eastAsia="Times New Roman" w:hAnsi="Segoe UI" w:cs="Segoe UI"/>
                <w:sz w:val="21"/>
                <w:szCs w:val="21"/>
                <w:lang w:eastAsia="es-419"/>
              </w:rPr>
            </w:pPr>
            <w:r w:rsidRPr="00083B9C">
              <w:rPr>
                <w:rFonts w:ascii="Segoe UI" w:eastAsia="Times New Roman" w:hAnsi="Segoe UI" w:cs="Segoe UI"/>
                <w:sz w:val="21"/>
                <w:szCs w:val="21"/>
                <w:lang w:eastAsia="es-419"/>
              </w:rPr>
              <w:t>Exportación de servicios</w:t>
            </w:r>
          </w:p>
          <w:p w14:paraId="3CD50993" w14:textId="77777777" w:rsidR="00083B9C" w:rsidRPr="00083B9C" w:rsidRDefault="00083B9C" w:rsidP="00083B9C">
            <w:pPr>
              <w:spacing w:line="240" w:lineRule="auto"/>
              <w:rPr>
                <w:rFonts w:ascii="Segoe UI" w:eastAsia="Times New Roman" w:hAnsi="Segoe UI" w:cs="Segoe UI"/>
                <w:sz w:val="21"/>
                <w:szCs w:val="21"/>
                <w:lang w:eastAsia="es-419"/>
              </w:rPr>
            </w:pPr>
            <w:r w:rsidRPr="00083B9C">
              <w:rPr>
                <w:rFonts w:ascii="Segoe UI" w:eastAsia="Times New Roman" w:hAnsi="Segoe UI" w:cs="Segoe UI"/>
                <w:sz w:val="21"/>
                <w:szCs w:val="21"/>
                <w:lang w:eastAsia="es-419"/>
              </w:rPr>
              <w:t>Documento soporte en adquisiciones efectuadas a sujetos no obligados a expedir factura de venta o documento equivalente</w:t>
            </w:r>
          </w:p>
        </w:tc>
      </w:tr>
      <w:tr w:rsidR="00083B9C" w:rsidRPr="00083B9C" w14:paraId="2DFB3531" w14:textId="77777777" w:rsidTr="00083B9C"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431A3" w14:textId="77777777" w:rsidR="00083B9C" w:rsidRPr="00083B9C" w:rsidRDefault="00083B9C" w:rsidP="00083B9C">
            <w:pPr>
              <w:spacing w:line="240" w:lineRule="auto"/>
              <w:rPr>
                <w:rFonts w:ascii="Segoe UI" w:eastAsia="Times New Roman" w:hAnsi="Segoe UI" w:cs="Segoe UI"/>
                <w:sz w:val="21"/>
                <w:szCs w:val="21"/>
                <w:lang w:eastAsia="es-419"/>
              </w:rPr>
            </w:pPr>
            <w:r w:rsidRPr="00083B9C">
              <w:rPr>
                <w:rFonts w:ascii="Segoe UI" w:eastAsia="Times New Roman" w:hAnsi="Segoe UI" w:cs="Segoe UI"/>
                <w:b/>
                <w:bCs/>
                <w:sz w:val="21"/>
                <w:szCs w:val="21"/>
                <w:lang w:eastAsia="es-419"/>
              </w:rPr>
              <w:t>Fuentes formales: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130E7" w14:textId="77777777" w:rsidR="00083B9C" w:rsidRPr="00083B9C" w:rsidRDefault="00083B9C" w:rsidP="00083B9C">
            <w:pPr>
              <w:spacing w:line="240" w:lineRule="auto"/>
              <w:rPr>
                <w:rFonts w:ascii="Segoe UI" w:eastAsia="Times New Roman" w:hAnsi="Segoe UI" w:cs="Segoe UI"/>
                <w:sz w:val="21"/>
                <w:szCs w:val="21"/>
                <w:lang w:eastAsia="es-419"/>
              </w:rPr>
            </w:pPr>
            <w:r w:rsidRPr="00083B9C">
              <w:rPr>
                <w:rFonts w:ascii="Segoe UI" w:eastAsia="Times New Roman" w:hAnsi="Segoe UI" w:cs="Segoe UI"/>
                <w:sz w:val="21"/>
                <w:szCs w:val="21"/>
                <w:lang w:val="es-ES" w:eastAsia="es-419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DDCF8" w14:textId="77777777" w:rsidR="00083B9C" w:rsidRPr="00083B9C" w:rsidRDefault="00083B9C" w:rsidP="00083B9C">
            <w:pPr>
              <w:spacing w:line="240" w:lineRule="auto"/>
              <w:rPr>
                <w:rFonts w:ascii="Segoe UI" w:eastAsia="Times New Roman" w:hAnsi="Segoe UI" w:cs="Segoe UI"/>
                <w:sz w:val="21"/>
                <w:szCs w:val="21"/>
                <w:lang w:eastAsia="es-419"/>
              </w:rPr>
            </w:pPr>
            <w:r w:rsidRPr="00083B9C">
              <w:rPr>
                <w:rFonts w:ascii="Segoe UI" w:eastAsia="Times New Roman" w:hAnsi="Segoe UI" w:cs="Segoe UI"/>
                <w:sz w:val="21"/>
                <w:szCs w:val="21"/>
                <w:lang w:val="es-ES" w:eastAsia="es-419"/>
              </w:rPr>
              <w:t> </w:t>
            </w:r>
          </w:p>
        </w:tc>
        <w:tc>
          <w:tcPr>
            <w:tcW w:w="6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2E1C5" w14:textId="77777777" w:rsidR="00083B9C" w:rsidRPr="00083B9C" w:rsidRDefault="00083B9C" w:rsidP="00083B9C">
            <w:pPr>
              <w:spacing w:line="240" w:lineRule="auto"/>
              <w:rPr>
                <w:rFonts w:ascii="Segoe UI" w:eastAsia="Times New Roman" w:hAnsi="Segoe UI" w:cs="Segoe UI"/>
                <w:sz w:val="21"/>
                <w:szCs w:val="21"/>
                <w:lang w:eastAsia="es-419"/>
              </w:rPr>
            </w:pPr>
            <w:hyperlink r:id="rId5" w:tooltip="Estatuto Tributario CETA" w:history="1">
              <w:r w:rsidRPr="00083B9C">
                <w:rPr>
                  <w:rFonts w:ascii="Segoe UI" w:eastAsia="Times New Roman" w:hAnsi="Segoe UI" w:cs="Segoe UI"/>
                  <w:color w:val="0089E1"/>
                  <w:sz w:val="21"/>
                  <w:szCs w:val="21"/>
                  <w:u w:val="single"/>
                  <w:lang w:eastAsia="es-419"/>
                </w:rPr>
                <w:t>Artículo 481</w:t>
              </w:r>
            </w:hyperlink>
            <w:r w:rsidRPr="00083B9C">
              <w:rPr>
                <w:rFonts w:ascii="Segoe UI" w:eastAsia="Times New Roman" w:hAnsi="Segoe UI" w:cs="Segoe UI"/>
                <w:sz w:val="21"/>
                <w:szCs w:val="21"/>
                <w:lang w:eastAsia="es-419"/>
              </w:rPr>
              <w:t> del Estatuto Tributario</w:t>
            </w:r>
          </w:p>
          <w:p w14:paraId="637C2DF0" w14:textId="77777777" w:rsidR="00083B9C" w:rsidRPr="00083B9C" w:rsidRDefault="00083B9C" w:rsidP="00083B9C">
            <w:pPr>
              <w:spacing w:line="240" w:lineRule="auto"/>
              <w:rPr>
                <w:rFonts w:ascii="Segoe UI" w:eastAsia="Times New Roman" w:hAnsi="Segoe UI" w:cs="Segoe UI"/>
                <w:sz w:val="21"/>
                <w:szCs w:val="21"/>
                <w:lang w:eastAsia="es-419"/>
              </w:rPr>
            </w:pPr>
            <w:r w:rsidRPr="00083B9C">
              <w:rPr>
                <w:rFonts w:ascii="Segoe UI" w:eastAsia="Times New Roman" w:hAnsi="Segoe UI" w:cs="Segoe UI"/>
                <w:sz w:val="21"/>
                <w:szCs w:val="21"/>
                <w:lang w:eastAsia="es-419"/>
              </w:rPr>
              <w:t>Artículos 1.3.1.1.12., 1.3.1.11.3., 1.6.1.4.12. y 1.6.1.21.15. del Decreto 1625 de 2016</w:t>
            </w:r>
          </w:p>
        </w:tc>
      </w:tr>
    </w:tbl>
    <w:p w14:paraId="19346CF3" w14:textId="77777777" w:rsidR="00083B9C" w:rsidRPr="00083B9C" w:rsidRDefault="00083B9C" w:rsidP="00083B9C">
      <w:pPr>
        <w:spacing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s-419"/>
        </w:rPr>
      </w:pPr>
      <w:r w:rsidRPr="00083B9C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es-419"/>
        </w:rPr>
        <w:t> </w:t>
      </w:r>
    </w:p>
    <w:p w14:paraId="0B445915" w14:textId="77777777" w:rsidR="00083B9C" w:rsidRPr="00083B9C" w:rsidRDefault="00083B9C" w:rsidP="00083B9C">
      <w:pPr>
        <w:spacing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s-419"/>
        </w:rPr>
      </w:pPr>
      <w:r w:rsidRPr="00083B9C">
        <w:rPr>
          <w:rFonts w:ascii="Segoe UI" w:eastAsia="Times New Roman" w:hAnsi="Segoe UI" w:cs="Segoe UI"/>
          <w:sz w:val="22"/>
          <w:szCs w:val="22"/>
          <w:lang w:eastAsia="es-419"/>
        </w:rPr>
        <w:t> </w:t>
      </w:r>
    </w:p>
    <w:p w14:paraId="581A33F3" w14:textId="77777777" w:rsidR="00083B9C" w:rsidRPr="00083B9C" w:rsidRDefault="00083B9C" w:rsidP="00083B9C">
      <w:pPr>
        <w:spacing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s-419"/>
        </w:rPr>
      </w:pPr>
      <w:r w:rsidRPr="00083B9C">
        <w:rPr>
          <w:rFonts w:ascii="Segoe UI" w:eastAsia="Times New Roman" w:hAnsi="Segoe UI" w:cs="Segoe UI"/>
          <w:color w:val="000000"/>
          <w:sz w:val="22"/>
          <w:szCs w:val="22"/>
          <w:lang w:eastAsia="es-419"/>
        </w:rPr>
        <w:t>Cordial saludo,</w:t>
      </w:r>
    </w:p>
    <w:p w14:paraId="0047C966" w14:textId="77777777" w:rsidR="00083B9C" w:rsidRPr="00083B9C" w:rsidRDefault="00083B9C" w:rsidP="00083B9C">
      <w:pPr>
        <w:spacing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s-419"/>
        </w:rPr>
      </w:pPr>
      <w:r w:rsidRPr="00083B9C">
        <w:rPr>
          <w:rFonts w:ascii="Segoe UI" w:eastAsia="Times New Roman" w:hAnsi="Segoe UI" w:cs="Segoe UI"/>
          <w:color w:val="000000"/>
          <w:sz w:val="22"/>
          <w:szCs w:val="22"/>
          <w:lang w:eastAsia="es-419"/>
        </w:rPr>
        <w:t> </w:t>
      </w:r>
    </w:p>
    <w:p w14:paraId="5D05F28B" w14:textId="77777777" w:rsidR="00083B9C" w:rsidRPr="00083B9C" w:rsidRDefault="00083B9C" w:rsidP="00083B9C">
      <w:pPr>
        <w:spacing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s-419"/>
        </w:rPr>
      </w:pPr>
      <w:r w:rsidRPr="00083B9C">
        <w:rPr>
          <w:rFonts w:ascii="Segoe UI" w:eastAsia="Times New Roman" w:hAnsi="Segoe UI" w:cs="Segoe UI"/>
          <w:color w:val="000000"/>
          <w:sz w:val="22"/>
          <w:szCs w:val="22"/>
          <w:lang w:eastAsia="es-419"/>
        </w:rPr>
        <w:t>De conformidad con el artículo 56 del Decreto 1742 de 2020, este Despacho está facultado para absolver las consultas escritas generales que se formulen sobre la interpretación y aplicación de las normas tributarias, aduaneras y de fiscalización cambiaria, en el marco de las competencias de la Dirección de Impuestos y Aduanas Nacionales. Por consiguiente, no corresponde a este Despacho, en ejercicio de las funciones descritas anteriormente, prestar asesoría específica para atender casos particulares, ni juzgar o calificar las decisiones tomadas por otras dependencias o entidades.</w:t>
      </w:r>
    </w:p>
    <w:p w14:paraId="4836A9F2" w14:textId="77777777" w:rsidR="00083B9C" w:rsidRPr="00083B9C" w:rsidRDefault="00083B9C" w:rsidP="00083B9C">
      <w:pPr>
        <w:spacing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s-419"/>
        </w:rPr>
      </w:pPr>
      <w:r w:rsidRPr="00083B9C">
        <w:rPr>
          <w:rFonts w:ascii="Segoe UI" w:eastAsia="Times New Roman" w:hAnsi="Segoe UI" w:cs="Segoe UI"/>
          <w:color w:val="000000"/>
          <w:sz w:val="22"/>
          <w:szCs w:val="22"/>
          <w:lang w:eastAsia="es-419"/>
        </w:rPr>
        <w:t> </w:t>
      </w:r>
    </w:p>
    <w:p w14:paraId="74227CE8" w14:textId="77777777" w:rsidR="00083B9C" w:rsidRPr="00083B9C" w:rsidRDefault="00083B9C" w:rsidP="00083B9C">
      <w:pPr>
        <w:spacing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s-419"/>
        </w:rPr>
      </w:pPr>
      <w:r w:rsidRPr="00083B9C">
        <w:rPr>
          <w:rFonts w:ascii="Segoe UI" w:eastAsia="Times New Roman" w:hAnsi="Segoe UI" w:cs="Segoe UI"/>
          <w:color w:val="000000"/>
          <w:sz w:val="22"/>
          <w:szCs w:val="22"/>
          <w:lang w:eastAsia="es-419"/>
        </w:rPr>
        <w:t>Mediante los radicados de la referencia, el peticionario formula los siguientes interrogantes, los cuales se resolverán cada uno a su turno.</w:t>
      </w:r>
    </w:p>
    <w:p w14:paraId="6A1EC1DF" w14:textId="77777777" w:rsidR="00083B9C" w:rsidRPr="00083B9C" w:rsidRDefault="00083B9C" w:rsidP="00083B9C">
      <w:pPr>
        <w:spacing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s-419"/>
        </w:rPr>
      </w:pPr>
      <w:r w:rsidRPr="00083B9C">
        <w:rPr>
          <w:rFonts w:ascii="Segoe UI" w:eastAsia="Times New Roman" w:hAnsi="Segoe UI" w:cs="Segoe UI"/>
          <w:b/>
          <w:bCs/>
          <w:color w:val="000000"/>
          <w:sz w:val="22"/>
          <w:szCs w:val="22"/>
          <w:lang w:eastAsia="es-419"/>
        </w:rPr>
        <w:t> </w:t>
      </w:r>
    </w:p>
    <w:p w14:paraId="39006FF0" w14:textId="77777777" w:rsidR="00083B9C" w:rsidRPr="00083B9C" w:rsidRDefault="00083B9C" w:rsidP="00083B9C">
      <w:pPr>
        <w:spacing w:line="240" w:lineRule="auto"/>
        <w:ind w:left="284"/>
        <w:rPr>
          <w:rFonts w:ascii="Segoe UI" w:eastAsia="Times New Roman" w:hAnsi="Segoe UI" w:cs="Segoe UI"/>
          <w:color w:val="000000"/>
          <w:sz w:val="21"/>
          <w:szCs w:val="21"/>
          <w:lang w:eastAsia="es-419"/>
        </w:rPr>
      </w:pPr>
      <w:r w:rsidRPr="00083B9C">
        <w:rPr>
          <w:rFonts w:ascii="Segoe UI" w:eastAsia="Times New Roman" w:hAnsi="Segoe UI" w:cs="Segoe UI"/>
          <w:b/>
          <w:bCs/>
          <w:i/>
          <w:iCs/>
          <w:color w:val="000000"/>
          <w:sz w:val="21"/>
          <w:szCs w:val="21"/>
          <w:lang w:eastAsia="es-419"/>
        </w:rPr>
        <w:t>A. “1. Una sociedad nacional, tiene por objeto principal la producción de obras de cine, televisión y audiovisuales. Los servicios referidos son </w:t>
      </w:r>
      <w:r w:rsidRPr="00083B9C">
        <w:rPr>
          <w:rFonts w:ascii="Segoe UI" w:eastAsia="Times New Roman" w:hAnsi="Segoe UI" w:cs="Segoe UI"/>
          <w:b/>
          <w:bCs/>
          <w:i/>
          <w:iCs/>
          <w:color w:val="000000"/>
          <w:sz w:val="21"/>
          <w:szCs w:val="21"/>
          <w:u w:val="single"/>
          <w:lang w:eastAsia="es-419"/>
        </w:rPr>
        <w:t>principalmente exportados</w:t>
      </w:r>
      <w:r w:rsidRPr="00083B9C">
        <w:rPr>
          <w:rFonts w:ascii="Segoe UI" w:eastAsia="Times New Roman" w:hAnsi="Segoe UI" w:cs="Segoe UI"/>
          <w:b/>
          <w:bCs/>
          <w:i/>
          <w:iCs/>
          <w:color w:val="000000"/>
          <w:sz w:val="21"/>
          <w:szCs w:val="21"/>
          <w:lang w:eastAsia="es-419"/>
        </w:rPr>
        <w:t> en favor de sociedades extranjeras, quienes se encargarán de la comercialización y divulgación de la respectiva producción en el exterior.</w:t>
      </w:r>
    </w:p>
    <w:p w14:paraId="60D3218D" w14:textId="77777777" w:rsidR="00083B9C" w:rsidRPr="00083B9C" w:rsidRDefault="00083B9C" w:rsidP="00083B9C">
      <w:pPr>
        <w:spacing w:line="240" w:lineRule="auto"/>
        <w:ind w:left="284"/>
        <w:rPr>
          <w:rFonts w:ascii="Segoe UI" w:eastAsia="Times New Roman" w:hAnsi="Segoe UI" w:cs="Segoe UI"/>
          <w:color w:val="000000"/>
          <w:sz w:val="21"/>
          <w:szCs w:val="21"/>
          <w:lang w:eastAsia="es-419"/>
        </w:rPr>
      </w:pPr>
      <w:r w:rsidRPr="00083B9C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es-419"/>
        </w:rPr>
        <w:t> </w:t>
      </w:r>
    </w:p>
    <w:p w14:paraId="1EBB167C" w14:textId="77777777" w:rsidR="00083B9C" w:rsidRPr="00083B9C" w:rsidRDefault="00083B9C" w:rsidP="00083B9C">
      <w:pPr>
        <w:spacing w:line="240" w:lineRule="auto"/>
        <w:ind w:left="284"/>
        <w:rPr>
          <w:rFonts w:ascii="Segoe UI" w:eastAsia="Times New Roman" w:hAnsi="Segoe UI" w:cs="Segoe UI"/>
          <w:color w:val="000000"/>
          <w:sz w:val="21"/>
          <w:szCs w:val="21"/>
          <w:lang w:eastAsia="es-419"/>
        </w:rPr>
      </w:pPr>
      <w:r w:rsidRPr="00083B9C">
        <w:rPr>
          <w:rFonts w:ascii="Segoe UI" w:eastAsia="Times New Roman" w:hAnsi="Segoe UI" w:cs="Segoe UI"/>
          <w:b/>
          <w:bCs/>
          <w:i/>
          <w:iCs/>
          <w:color w:val="000000"/>
          <w:sz w:val="22"/>
          <w:szCs w:val="22"/>
          <w:lang w:eastAsia="es-419"/>
        </w:rPr>
        <w:t>2. (...) la sociedad nacional </w:t>
      </w:r>
      <w:r w:rsidRPr="00083B9C">
        <w:rPr>
          <w:rFonts w:ascii="Segoe UI" w:eastAsia="Times New Roman" w:hAnsi="Segoe UI" w:cs="Segoe UI"/>
          <w:b/>
          <w:bCs/>
          <w:i/>
          <w:iCs/>
          <w:color w:val="000000"/>
          <w:sz w:val="21"/>
          <w:szCs w:val="21"/>
          <w:u w:val="single"/>
          <w:lang w:eastAsia="es-419"/>
        </w:rPr>
        <w:t>contrata con terceros, también nacionales, la realización de otras actividades</w:t>
      </w:r>
      <w:r w:rsidRPr="00083B9C">
        <w:rPr>
          <w:rFonts w:ascii="Segoe UI" w:eastAsia="Times New Roman" w:hAnsi="Segoe UI" w:cs="Segoe UI"/>
          <w:b/>
          <w:bCs/>
          <w:i/>
          <w:iCs/>
          <w:color w:val="000000"/>
          <w:sz w:val="22"/>
          <w:szCs w:val="22"/>
          <w:lang w:eastAsia="es-419"/>
        </w:rPr>
        <w:t> indispensables para el desarrollo de la producción que posteriormente se exportará.</w:t>
      </w:r>
    </w:p>
    <w:p w14:paraId="0A5A5AFB" w14:textId="77777777" w:rsidR="00083B9C" w:rsidRPr="00083B9C" w:rsidRDefault="00083B9C" w:rsidP="00083B9C">
      <w:pPr>
        <w:spacing w:line="240" w:lineRule="auto"/>
        <w:ind w:left="284"/>
        <w:rPr>
          <w:rFonts w:ascii="Segoe UI" w:eastAsia="Times New Roman" w:hAnsi="Segoe UI" w:cs="Segoe UI"/>
          <w:color w:val="000000"/>
          <w:sz w:val="21"/>
          <w:szCs w:val="21"/>
          <w:lang w:eastAsia="es-419"/>
        </w:rPr>
      </w:pPr>
      <w:r w:rsidRPr="00083B9C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es-419"/>
        </w:rPr>
        <w:t> </w:t>
      </w:r>
    </w:p>
    <w:p w14:paraId="4761110C" w14:textId="77777777" w:rsidR="00083B9C" w:rsidRPr="00083B9C" w:rsidRDefault="00083B9C" w:rsidP="00083B9C">
      <w:pPr>
        <w:spacing w:line="240" w:lineRule="auto"/>
        <w:ind w:left="284"/>
        <w:rPr>
          <w:rFonts w:ascii="Segoe UI" w:eastAsia="Times New Roman" w:hAnsi="Segoe UI" w:cs="Segoe UI"/>
          <w:color w:val="000000"/>
          <w:sz w:val="21"/>
          <w:szCs w:val="21"/>
          <w:lang w:eastAsia="es-419"/>
        </w:rPr>
      </w:pPr>
      <w:r w:rsidRPr="00083B9C">
        <w:rPr>
          <w:rFonts w:ascii="Segoe UI" w:eastAsia="Times New Roman" w:hAnsi="Segoe UI" w:cs="Segoe UI"/>
          <w:b/>
          <w:bCs/>
          <w:i/>
          <w:iCs/>
          <w:color w:val="000000"/>
          <w:sz w:val="22"/>
          <w:szCs w:val="22"/>
          <w:lang w:eastAsia="es-419"/>
        </w:rPr>
        <w:t>3. Dichos terceros (...) prestarían (...) servicios, que son indispensables y conexos a la operación de exportación (...) </w:t>
      </w:r>
      <w:r w:rsidRPr="00083B9C">
        <w:rPr>
          <w:rFonts w:ascii="Segoe UI" w:eastAsia="Times New Roman" w:hAnsi="Segoe UI" w:cs="Segoe UI"/>
          <w:b/>
          <w:bCs/>
          <w:i/>
          <w:iCs/>
          <w:color w:val="000000"/>
          <w:sz w:val="21"/>
          <w:szCs w:val="21"/>
          <w:u w:val="single"/>
          <w:lang w:eastAsia="es-419"/>
        </w:rPr>
        <w:t>directamente a la sociedad nacional,</w:t>
      </w:r>
      <w:r w:rsidRPr="00083B9C">
        <w:rPr>
          <w:rFonts w:ascii="Segoe UI" w:eastAsia="Times New Roman" w:hAnsi="Segoe UI" w:cs="Segoe UI"/>
          <w:b/>
          <w:bCs/>
          <w:i/>
          <w:iCs/>
          <w:color w:val="000000"/>
          <w:sz w:val="22"/>
          <w:szCs w:val="22"/>
          <w:lang w:eastAsia="es-419"/>
        </w:rPr>
        <w:t> pero indirectamente los mismos se destinarían a la producción que se le entregaría o exportaría a la sociedad extranjera.</w:t>
      </w:r>
    </w:p>
    <w:p w14:paraId="71D7C63C" w14:textId="77777777" w:rsidR="00083B9C" w:rsidRPr="00083B9C" w:rsidRDefault="00083B9C" w:rsidP="00083B9C">
      <w:pPr>
        <w:spacing w:line="240" w:lineRule="auto"/>
        <w:ind w:left="284"/>
        <w:rPr>
          <w:rFonts w:ascii="Segoe UI" w:eastAsia="Times New Roman" w:hAnsi="Segoe UI" w:cs="Segoe UI"/>
          <w:color w:val="000000"/>
          <w:sz w:val="21"/>
          <w:szCs w:val="21"/>
          <w:lang w:eastAsia="es-419"/>
        </w:rPr>
      </w:pPr>
      <w:r w:rsidRPr="00083B9C">
        <w:rPr>
          <w:rFonts w:ascii="Segoe UI" w:eastAsia="Times New Roman" w:hAnsi="Segoe UI" w:cs="Segoe UI"/>
          <w:b/>
          <w:bCs/>
          <w:i/>
          <w:iCs/>
          <w:color w:val="000000"/>
          <w:sz w:val="21"/>
          <w:szCs w:val="21"/>
          <w:lang w:eastAsia="es-419"/>
        </w:rPr>
        <w:t> </w:t>
      </w:r>
    </w:p>
    <w:p w14:paraId="7DDCD392" w14:textId="77777777" w:rsidR="00083B9C" w:rsidRPr="00083B9C" w:rsidRDefault="00083B9C" w:rsidP="00083B9C">
      <w:pPr>
        <w:spacing w:line="240" w:lineRule="auto"/>
        <w:ind w:left="284"/>
        <w:rPr>
          <w:rFonts w:ascii="Segoe UI" w:eastAsia="Times New Roman" w:hAnsi="Segoe UI" w:cs="Segoe UI"/>
          <w:color w:val="000000"/>
          <w:sz w:val="21"/>
          <w:szCs w:val="21"/>
          <w:lang w:eastAsia="es-419"/>
        </w:rPr>
      </w:pPr>
      <w:r w:rsidRPr="00083B9C">
        <w:rPr>
          <w:rFonts w:ascii="Segoe UI" w:eastAsia="Times New Roman" w:hAnsi="Segoe UI" w:cs="Segoe UI"/>
          <w:b/>
          <w:bCs/>
          <w:i/>
          <w:iCs/>
          <w:color w:val="000000"/>
          <w:sz w:val="22"/>
          <w:szCs w:val="22"/>
          <w:lang w:eastAsia="es-419"/>
        </w:rPr>
        <w:t>(...)</w:t>
      </w:r>
    </w:p>
    <w:p w14:paraId="1BAD77E9" w14:textId="77777777" w:rsidR="00083B9C" w:rsidRPr="00083B9C" w:rsidRDefault="00083B9C" w:rsidP="00083B9C">
      <w:pPr>
        <w:spacing w:line="240" w:lineRule="auto"/>
        <w:ind w:left="284"/>
        <w:rPr>
          <w:rFonts w:ascii="Segoe UI" w:eastAsia="Times New Roman" w:hAnsi="Segoe UI" w:cs="Segoe UI"/>
          <w:color w:val="000000"/>
          <w:sz w:val="21"/>
          <w:szCs w:val="21"/>
          <w:lang w:eastAsia="es-419"/>
        </w:rPr>
      </w:pPr>
      <w:r w:rsidRPr="00083B9C">
        <w:rPr>
          <w:rFonts w:ascii="Segoe UI" w:eastAsia="Times New Roman" w:hAnsi="Segoe UI" w:cs="Segoe UI"/>
          <w:b/>
          <w:bCs/>
          <w:i/>
          <w:iCs/>
          <w:color w:val="000000"/>
          <w:sz w:val="21"/>
          <w:szCs w:val="21"/>
          <w:lang w:eastAsia="es-419"/>
        </w:rPr>
        <w:t> </w:t>
      </w:r>
    </w:p>
    <w:p w14:paraId="68DDE076" w14:textId="77777777" w:rsidR="00083B9C" w:rsidRPr="00083B9C" w:rsidRDefault="00083B9C" w:rsidP="00083B9C">
      <w:pPr>
        <w:spacing w:line="240" w:lineRule="auto"/>
        <w:ind w:left="284"/>
        <w:rPr>
          <w:rFonts w:ascii="Segoe UI" w:eastAsia="Times New Roman" w:hAnsi="Segoe UI" w:cs="Segoe UI"/>
          <w:color w:val="000000"/>
          <w:sz w:val="21"/>
          <w:szCs w:val="21"/>
          <w:lang w:eastAsia="es-419"/>
        </w:rPr>
      </w:pPr>
      <w:r w:rsidRPr="00083B9C">
        <w:rPr>
          <w:rFonts w:ascii="Segoe UI" w:eastAsia="Times New Roman" w:hAnsi="Segoe UI" w:cs="Segoe UI"/>
          <w:b/>
          <w:bCs/>
          <w:i/>
          <w:iCs/>
          <w:color w:val="000000"/>
          <w:sz w:val="21"/>
          <w:szCs w:val="21"/>
          <w:lang w:eastAsia="es-419"/>
        </w:rPr>
        <w:t>(...) ¿La exención de IVA, prevista para la exportación de servicios relacionados con la producción de obras cine, televisión, y audiovisuales de cualquier género, </w:t>
      </w:r>
      <w:r w:rsidRPr="00083B9C">
        <w:rPr>
          <w:rFonts w:ascii="Segoe UI" w:eastAsia="Times New Roman" w:hAnsi="Segoe UI" w:cs="Segoe UI"/>
          <w:b/>
          <w:bCs/>
          <w:i/>
          <w:iCs/>
          <w:color w:val="000000"/>
          <w:sz w:val="21"/>
          <w:szCs w:val="21"/>
          <w:u w:val="single"/>
          <w:lang w:eastAsia="es-419"/>
        </w:rPr>
        <w:t>también les aplica a los sujetos que indirectamente prestan servicios,</w:t>
      </w:r>
      <w:r w:rsidRPr="00083B9C">
        <w:rPr>
          <w:rFonts w:ascii="Segoe UI" w:eastAsia="Times New Roman" w:hAnsi="Segoe UI" w:cs="Segoe UI"/>
          <w:b/>
          <w:bCs/>
          <w:i/>
          <w:iCs/>
          <w:color w:val="000000"/>
          <w:sz w:val="21"/>
          <w:szCs w:val="21"/>
          <w:lang w:eastAsia="es-419"/>
        </w:rPr>
        <w:t> que son fundamentales y que se integran a la producción audiovisual que se exportará en favor de una entidad extranjera?”</w:t>
      </w:r>
      <w:r w:rsidRPr="00083B9C">
        <w:rPr>
          <w:rFonts w:ascii="Segoe UI" w:eastAsia="Times New Roman" w:hAnsi="Segoe UI" w:cs="Segoe UI"/>
          <w:b/>
          <w:bCs/>
          <w:color w:val="000000"/>
          <w:sz w:val="22"/>
          <w:szCs w:val="22"/>
          <w:lang w:eastAsia="es-419"/>
        </w:rPr>
        <w:t> (Subrayado fuera de texto).</w:t>
      </w:r>
    </w:p>
    <w:p w14:paraId="22F8FF43" w14:textId="77777777" w:rsidR="00083B9C" w:rsidRPr="00083B9C" w:rsidRDefault="00083B9C" w:rsidP="00083B9C">
      <w:pPr>
        <w:spacing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s-419"/>
        </w:rPr>
      </w:pPr>
      <w:r w:rsidRPr="00083B9C">
        <w:rPr>
          <w:rFonts w:ascii="Segoe UI" w:eastAsia="Times New Roman" w:hAnsi="Segoe UI" w:cs="Segoe UI"/>
          <w:color w:val="000000"/>
          <w:sz w:val="22"/>
          <w:szCs w:val="22"/>
          <w:lang w:eastAsia="es-419"/>
        </w:rPr>
        <w:t> </w:t>
      </w:r>
    </w:p>
    <w:p w14:paraId="45657280" w14:textId="77777777" w:rsidR="00083B9C" w:rsidRPr="00083B9C" w:rsidRDefault="00083B9C" w:rsidP="00083B9C">
      <w:pPr>
        <w:spacing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s-419"/>
        </w:rPr>
      </w:pPr>
      <w:r w:rsidRPr="00083B9C">
        <w:rPr>
          <w:rFonts w:ascii="Segoe UI" w:eastAsia="Times New Roman" w:hAnsi="Segoe UI" w:cs="Segoe UI"/>
          <w:color w:val="000000"/>
          <w:sz w:val="22"/>
          <w:szCs w:val="22"/>
          <w:lang w:eastAsia="es-419"/>
        </w:rPr>
        <w:t>El literal c) del </w:t>
      </w:r>
      <w:hyperlink r:id="rId6" w:tooltip="Estatuto Tributario CETA" w:history="1">
        <w:r w:rsidRPr="00083B9C">
          <w:rPr>
            <w:rFonts w:ascii="Segoe UI" w:eastAsia="Times New Roman" w:hAnsi="Segoe UI" w:cs="Segoe UI"/>
            <w:color w:val="0089E1"/>
            <w:sz w:val="21"/>
            <w:szCs w:val="21"/>
            <w:u w:val="single"/>
            <w:lang w:eastAsia="es-419"/>
          </w:rPr>
          <w:t>artículo 481</w:t>
        </w:r>
      </w:hyperlink>
      <w:r w:rsidRPr="00083B9C">
        <w:rPr>
          <w:rFonts w:ascii="Segoe UI" w:eastAsia="Times New Roman" w:hAnsi="Segoe UI" w:cs="Segoe UI"/>
          <w:color w:val="000000"/>
          <w:sz w:val="22"/>
          <w:szCs w:val="22"/>
          <w:lang w:eastAsia="es-419"/>
        </w:rPr>
        <w:t> del Estatuto Tributario establece que </w:t>
      </w:r>
      <w:r w:rsidRPr="00083B9C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es-419"/>
        </w:rPr>
        <w:t>“Los servicios que sean prestados en el país y </w:t>
      </w:r>
      <w:r w:rsidRPr="00083B9C">
        <w:rPr>
          <w:rFonts w:ascii="Segoe UI" w:eastAsia="Times New Roman" w:hAnsi="Segoe UI" w:cs="Segoe UI"/>
          <w:i/>
          <w:iCs/>
          <w:color w:val="000000"/>
          <w:sz w:val="21"/>
          <w:szCs w:val="21"/>
          <w:u w:val="single"/>
          <w:lang w:eastAsia="es-419"/>
        </w:rPr>
        <w:t>se utilicen exclusivamente en el exterior por empresas o personas sin negocios o actividades en Colombia,</w:t>
      </w:r>
      <w:r w:rsidRPr="00083B9C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es-419"/>
        </w:rPr>
        <w:t> de acuerdo con los requisitos que señale el reglamento”</w:t>
      </w:r>
      <w:r w:rsidRPr="00083B9C">
        <w:rPr>
          <w:rFonts w:ascii="Segoe UI" w:eastAsia="Times New Roman" w:hAnsi="Segoe UI" w:cs="Segoe UI"/>
          <w:color w:val="000000"/>
          <w:sz w:val="22"/>
          <w:szCs w:val="22"/>
          <w:lang w:eastAsia="es-419"/>
        </w:rPr>
        <w:t> (subrayado fuera de texto) están exentos del IVA, con derecho a devolución bimestral.</w:t>
      </w:r>
    </w:p>
    <w:p w14:paraId="5FE66513" w14:textId="77777777" w:rsidR="00083B9C" w:rsidRPr="00083B9C" w:rsidRDefault="00083B9C" w:rsidP="00083B9C">
      <w:pPr>
        <w:spacing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s-419"/>
        </w:rPr>
      </w:pPr>
      <w:r w:rsidRPr="00083B9C">
        <w:rPr>
          <w:rFonts w:ascii="Segoe UI" w:eastAsia="Times New Roman" w:hAnsi="Segoe UI" w:cs="Segoe UI"/>
          <w:color w:val="000000"/>
          <w:sz w:val="22"/>
          <w:szCs w:val="22"/>
          <w:lang w:eastAsia="es-419"/>
        </w:rPr>
        <w:lastRenderedPageBreak/>
        <w:t> </w:t>
      </w:r>
    </w:p>
    <w:p w14:paraId="24C07C2C" w14:textId="77777777" w:rsidR="00083B9C" w:rsidRPr="00083B9C" w:rsidRDefault="00083B9C" w:rsidP="00083B9C">
      <w:pPr>
        <w:spacing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s-419"/>
        </w:rPr>
      </w:pPr>
      <w:r w:rsidRPr="00083B9C">
        <w:rPr>
          <w:rFonts w:ascii="Segoe UI" w:eastAsia="Times New Roman" w:hAnsi="Segoe UI" w:cs="Segoe UI"/>
          <w:color w:val="000000"/>
          <w:sz w:val="22"/>
          <w:szCs w:val="22"/>
          <w:lang w:eastAsia="es-419"/>
        </w:rPr>
        <w:t>El parágrafo de esta misma disposición indica:</w:t>
      </w:r>
    </w:p>
    <w:p w14:paraId="0768578A" w14:textId="77777777" w:rsidR="00083B9C" w:rsidRPr="00083B9C" w:rsidRDefault="00083B9C" w:rsidP="00083B9C">
      <w:pPr>
        <w:spacing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s-419"/>
        </w:rPr>
      </w:pPr>
      <w:r w:rsidRPr="00083B9C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es-419"/>
        </w:rPr>
        <w:t> </w:t>
      </w:r>
    </w:p>
    <w:p w14:paraId="48F2FB69" w14:textId="77777777" w:rsidR="00083B9C" w:rsidRPr="00083B9C" w:rsidRDefault="00083B9C" w:rsidP="00083B9C">
      <w:pPr>
        <w:spacing w:line="240" w:lineRule="auto"/>
        <w:ind w:left="284"/>
        <w:rPr>
          <w:rFonts w:ascii="Segoe UI" w:eastAsia="Times New Roman" w:hAnsi="Segoe UI" w:cs="Segoe UI"/>
          <w:color w:val="000000"/>
          <w:sz w:val="21"/>
          <w:szCs w:val="21"/>
          <w:lang w:eastAsia="es-419"/>
        </w:rPr>
      </w:pPr>
      <w:r w:rsidRPr="00083B9C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es-419"/>
        </w:rPr>
        <w:t>“Sin perjuicio de lo establecido en el literal c) de este artículo, se entenderá que existe una exportación de servicios </w:t>
      </w:r>
      <w:r w:rsidRPr="00083B9C">
        <w:rPr>
          <w:rFonts w:ascii="Segoe UI" w:eastAsia="Times New Roman" w:hAnsi="Segoe UI" w:cs="Segoe UI"/>
          <w:i/>
          <w:iCs/>
          <w:color w:val="000000"/>
          <w:sz w:val="21"/>
          <w:szCs w:val="21"/>
          <w:u w:val="single"/>
          <w:lang w:eastAsia="es-419"/>
        </w:rPr>
        <w:t>en los casos de servicios relacionados con la producción de obras de cine, televisión, audiovisuales de cualquier género</w:t>
      </w:r>
      <w:r w:rsidRPr="00083B9C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es-419"/>
        </w:rPr>
        <w:t> y con el desarrollo de software, que estén protegidos por el derecho de autor, y que </w:t>
      </w:r>
      <w:r w:rsidRPr="00083B9C">
        <w:rPr>
          <w:rFonts w:ascii="Segoe UI" w:eastAsia="Times New Roman" w:hAnsi="Segoe UI" w:cs="Segoe UI"/>
          <w:i/>
          <w:iCs/>
          <w:color w:val="000000"/>
          <w:sz w:val="21"/>
          <w:szCs w:val="21"/>
          <w:u w:val="single"/>
          <w:lang w:eastAsia="es-419"/>
        </w:rPr>
        <w:t>una vez exportados sean difundidos desde el exterior por el beneficiario de los mismos en el mercado internacional y a ellos se pueda acceder desde Colombia por cualquier medio tecnológico</w:t>
      </w:r>
      <w:r w:rsidRPr="00083B9C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es-419"/>
        </w:rPr>
        <w:t>”.</w:t>
      </w:r>
      <w:r w:rsidRPr="00083B9C">
        <w:rPr>
          <w:rFonts w:ascii="Segoe UI" w:eastAsia="Times New Roman" w:hAnsi="Segoe UI" w:cs="Segoe UI"/>
          <w:color w:val="000000"/>
          <w:sz w:val="22"/>
          <w:szCs w:val="22"/>
          <w:lang w:eastAsia="es-419"/>
        </w:rPr>
        <w:t> (Subrayado fuera de texto).</w:t>
      </w:r>
    </w:p>
    <w:p w14:paraId="2CA3C06A" w14:textId="77777777" w:rsidR="00083B9C" w:rsidRPr="00083B9C" w:rsidRDefault="00083B9C" w:rsidP="00083B9C">
      <w:pPr>
        <w:spacing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s-419"/>
        </w:rPr>
      </w:pPr>
      <w:r w:rsidRPr="00083B9C">
        <w:rPr>
          <w:rFonts w:ascii="Segoe UI" w:eastAsia="Times New Roman" w:hAnsi="Segoe UI" w:cs="Segoe UI"/>
          <w:color w:val="000000"/>
          <w:sz w:val="22"/>
          <w:szCs w:val="22"/>
          <w:lang w:eastAsia="es-419"/>
        </w:rPr>
        <w:t> </w:t>
      </w:r>
    </w:p>
    <w:p w14:paraId="2119711C" w14:textId="77777777" w:rsidR="00083B9C" w:rsidRPr="00083B9C" w:rsidRDefault="00083B9C" w:rsidP="00083B9C">
      <w:pPr>
        <w:spacing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s-419"/>
        </w:rPr>
      </w:pPr>
      <w:r w:rsidRPr="00083B9C">
        <w:rPr>
          <w:rFonts w:ascii="Segoe UI" w:eastAsia="Times New Roman" w:hAnsi="Segoe UI" w:cs="Segoe UI"/>
          <w:color w:val="000000"/>
          <w:sz w:val="22"/>
          <w:szCs w:val="22"/>
          <w:lang w:eastAsia="es-419"/>
        </w:rPr>
        <w:t>Por su parte, el literal h) del artículo 1.6.1.21.15. (requisitos especiales en las solicitudes de devolución y/o compensación de saldos a favor en el impuesto sobre las ventas -IVA) del Decreto 1625 de 2016 contempla:</w:t>
      </w:r>
    </w:p>
    <w:p w14:paraId="68150767" w14:textId="77777777" w:rsidR="00083B9C" w:rsidRPr="00083B9C" w:rsidRDefault="00083B9C" w:rsidP="00083B9C">
      <w:pPr>
        <w:spacing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s-419"/>
        </w:rPr>
      </w:pPr>
      <w:r w:rsidRPr="00083B9C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es-419"/>
        </w:rPr>
        <w:t> </w:t>
      </w:r>
    </w:p>
    <w:p w14:paraId="09C9D828" w14:textId="77777777" w:rsidR="00083B9C" w:rsidRPr="00083B9C" w:rsidRDefault="00083B9C" w:rsidP="00083B9C">
      <w:pPr>
        <w:spacing w:line="240" w:lineRule="auto"/>
        <w:ind w:left="284"/>
        <w:rPr>
          <w:rFonts w:ascii="Segoe UI" w:eastAsia="Times New Roman" w:hAnsi="Segoe UI" w:cs="Segoe UI"/>
          <w:color w:val="000000"/>
          <w:sz w:val="21"/>
          <w:szCs w:val="21"/>
          <w:lang w:eastAsia="es-419"/>
        </w:rPr>
      </w:pPr>
      <w:r w:rsidRPr="00083B9C">
        <w:rPr>
          <w:rFonts w:ascii="Segoe UI" w:eastAsia="Times New Roman" w:hAnsi="Segoe UI" w:cs="Segoe UI"/>
          <w:i/>
          <w:iCs/>
          <w:color w:val="000000"/>
          <w:sz w:val="22"/>
          <w:szCs w:val="22"/>
          <w:lang w:eastAsia="es-419"/>
        </w:rPr>
        <w:t>“(...) Para los prestadores de servicios del PARÁGRAFO del </w:t>
      </w:r>
      <w:hyperlink r:id="rId7" w:tooltip="Estatuto Tributario CETA" w:history="1">
        <w:r w:rsidRPr="00083B9C">
          <w:rPr>
            <w:rFonts w:ascii="Segoe UI" w:eastAsia="Times New Roman" w:hAnsi="Segoe UI" w:cs="Segoe UI"/>
            <w:i/>
            <w:iCs/>
            <w:color w:val="0089E1"/>
            <w:sz w:val="21"/>
            <w:szCs w:val="21"/>
            <w:u w:val="single"/>
            <w:lang w:eastAsia="es-419"/>
          </w:rPr>
          <w:t>artículo 481</w:t>
        </w:r>
      </w:hyperlink>
      <w:r w:rsidRPr="00083B9C">
        <w:rPr>
          <w:rFonts w:ascii="Segoe UI" w:eastAsia="Times New Roman" w:hAnsi="Segoe UI" w:cs="Segoe UI"/>
          <w:i/>
          <w:iCs/>
          <w:color w:val="000000"/>
          <w:sz w:val="22"/>
          <w:szCs w:val="22"/>
          <w:lang w:eastAsia="es-419"/>
        </w:rPr>
        <w:t> del Estatuto Tributario, la información contenida en el numeral 4 del presente literal.</w:t>
      </w:r>
    </w:p>
    <w:p w14:paraId="1F7632ED" w14:textId="77777777" w:rsidR="00083B9C" w:rsidRPr="00083B9C" w:rsidRDefault="00083B9C" w:rsidP="00083B9C">
      <w:pPr>
        <w:spacing w:line="240" w:lineRule="auto"/>
        <w:ind w:left="284"/>
        <w:rPr>
          <w:rFonts w:ascii="Segoe UI" w:eastAsia="Times New Roman" w:hAnsi="Segoe UI" w:cs="Segoe UI"/>
          <w:color w:val="000000"/>
          <w:sz w:val="21"/>
          <w:szCs w:val="21"/>
          <w:lang w:eastAsia="es-419"/>
        </w:rPr>
      </w:pPr>
      <w:r w:rsidRPr="00083B9C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es-419"/>
        </w:rPr>
        <w:t> </w:t>
      </w:r>
    </w:p>
    <w:p w14:paraId="148C7103" w14:textId="77777777" w:rsidR="00083B9C" w:rsidRPr="00083B9C" w:rsidRDefault="00083B9C" w:rsidP="00083B9C">
      <w:pPr>
        <w:spacing w:line="240" w:lineRule="auto"/>
        <w:ind w:left="284"/>
        <w:rPr>
          <w:rFonts w:ascii="Segoe UI" w:eastAsia="Times New Roman" w:hAnsi="Segoe UI" w:cs="Segoe UI"/>
          <w:color w:val="000000"/>
          <w:sz w:val="21"/>
          <w:szCs w:val="21"/>
          <w:lang w:eastAsia="es-419"/>
        </w:rPr>
      </w:pPr>
      <w:r w:rsidRPr="00083B9C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es-419"/>
        </w:rPr>
        <w:t>(…)</w:t>
      </w:r>
    </w:p>
    <w:p w14:paraId="6AD83B6E" w14:textId="77777777" w:rsidR="00083B9C" w:rsidRPr="00083B9C" w:rsidRDefault="00083B9C" w:rsidP="00083B9C">
      <w:pPr>
        <w:spacing w:line="240" w:lineRule="auto"/>
        <w:ind w:left="284"/>
        <w:rPr>
          <w:rFonts w:ascii="Segoe UI" w:eastAsia="Times New Roman" w:hAnsi="Segoe UI" w:cs="Segoe UI"/>
          <w:color w:val="000000"/>
          <w:sz w:val="21"/>
          <w:szCs w:val="21"/>
          <w:lang w:eastAsia="es-419"/>
        </w:rPr>
      </w:pPr>
      <w:r w:rsidRPr="00083B9C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es-419"/>
        </w:rPr>
        <w:t> </w:t>
      </w:r>
    </w:p>
    <w:p w14:paraId="046CE5C6" w14:textId="77777777" w:rsidR="00083B9C" w:rsidRPr="00083B9C" w:rsidRDefault="00083B9C" w:rsidP="00083B9C">
      <w:pPr>
        <w:spacing w:line="240" w:lineRule="auto"/>
        <w:ind w:left="284"/>
        <w:rPr>
          <w:rFonts w:ascii="Segoe UI" w:eastAsia="Times New Roman" w:hAnsi="Segoe UI" w:cs="Segoe UI"/>
          <w:color w:val="000000"/>
          <w:sz w:val="21"/>
          <w:szCs w:val="21"/>
          <w:lang w:eastAsia="es-419"/>
        </w:rPr>
      </w:pPr>
      <w:r w:rsidRPr="00083B9C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es-419"/>
        </w:rPr>
        <w:t>4.1 Copia del contrato suscrito entre el prestador del </w:t>
      </w:r>
      <w:r w:rsidRPr="00083B9C">
        <w:rPr>
          <w:rFonts w:ascii="Segoe UI" w:eastAsia="Times New Roman" w:hAnsi="Segoe UI" w:cs="Segoe UI"/>
          <w:i/>
          <w:iCs/>
          <w:color w:val="000000"/>
          <w:sz w:val="21"/>
          <w:szCs w:val="21"/>
          <w:u w:val="single"/>
          <w:lang w:eastAsia="es-419"/>
        </w:rPr>
        <w:t>servicio de la producción</w:t>
      </w:r>
      <w:r w:rsidRPr="00083B9C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es-419"/>
        </w:rPr>
        <w:t> de obras de cine, televisión y audiovisuales de cualquier género o el desarrollador de software y </w:t>
      </w:r>
      <w:r w:rsidRPr="00083B9C">
        <w:rPr>
          <w:rFonts w:ascii="Segoe UI" w:eastAsia="Times New Roman" w:hAnsi="Segoe UI" w:cs="Segoe UI"/>
          <w:i/>
          <w:iCs/>
          <w:color w:val="000000"/>
          <w:sz w:val="21"/>
          <w:szCs w:val="21"/>
          <w:u w:val="single"/>
          <w:lang w:eastAsia="es-419"/>
        </w:rPr>
        <w:t>el adquirente del extranjero</w:t>
      </w:r>
      <w:r w:rsidRPr="00083B9C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es-419"/>
        </w:rPr>
        <w:t> (...)</w:t>
      </w:r>
    </w:p>
    <w:p w14:paraId="60B78550" w14:textId="77777777" w:rsidR="00083B9C" w:rsidRPr="00083B9C" w:rsidRDefault="00083B9C" w:rsidP="00083B9C">
      <w:pPr>
        <w:spacing w:line="240" w:lineRule="auto"/>
        <w:ind w:left="284"/>
        <w:rPr>
          <w:rFonts w:ascii="Segoe UI" w:eastAsia="Times New Roman" w:hAnsi="Segoe UI" w:cs="Segoe UI"/>
          <w:color w:val="000000"/>
          <w:sz w:val="21"/>
          <w:szCs w:val="21"/>
          <w:lang w:eastAsia="es-419"/>
        </w:rPr>
      </w:pPr>
      <w:r w:rsidRPr="00083B9C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es-419"/>
        </w:rPr>
        <w:t> </w:t>
      </w:r>
    </w:p>
    <w:p w14:paraId="7B824A97" w14:textId="77777777" w:rsidR="00083B9C" w:rsidRPr="00083B9C" w:rsidRDefault="00083B9C" w:rsidP="00083B9C">
      <w:pPr>
        <w:spacing w:line="240" w:lineRule="auto"/>
        <w:ind w:left="284"/>
        <w:rPr>
          <w:rFonts w:ascii="Segoe UI" w:eastAsia="Times New Roman" w:hAnsi="Segoe UI" w:cs="Segoe UI"/>
          <w:color w:val="000000"/>
          <w:sz w:val="21"/>
          <w:szCs w:val="21"/>
          <w:lang w:eastAsia="es-419"/>
        </w:rPr>
      </w:pPr>
      <w:r w:rsidRPr="00083B9C">
        <w:rPr>
          <w:rFonts w:ascii="Segoe UI" w:eastAsia="Times New Roman" w:hAnsi="Segoe UI" w:cs="Segoe UI"/>
          <w:i/>
          <w:iCs/>
          <w:color w:val="000000"/>
          <w:sz w:val="22"/>
          <w:szCs w:val="22"/>
          <w:lang w:eastAsia="es-419"/>
        </w:rPr>
        <w:t>4.2 Relación de </w:t>
      </w:r>
      <w:r w:rsidRPr="00083B9C">
        <w:rPr>
          <w:rFonts w:ascii="Segoe UI" w:eastAsia="Times New Roman" w:hAnsi="Segoe UI" w:cs="Segoe UI"/>
          <w:i/>
          <w:iCs/>
          <w:color w:val="000000"/>
          <w:sz w:val="21"/>
          <w:szCs w:val="21"/>
          <w:u w:val="single"/>
          <w:lang w:eastAsia="es-419"/>
        </w:rPr>
        <w:t>los impuestos descontables que originaron el saldo a favor y que correspondan a los servicios relacionados con la producción</w:t>
      </w:r>
      <w:r w:rsidRPr="00083B9C">
        <w:rPr>
          <w:rFonts w:ascii="Segoe UI" w:eastAsia="Times New Roman" w:hAnsi="Segoe UI" w:cs="Segoe UI"/>
          <w:i/>
          <w:iCs/>
          <w:color w:val="000000"/>
          <w:sz w:val="22"/>
          <w:szCs w:val="22"/>
          <w:lang w:eastAsia="es-419"/>
        </w:rPr>
        <w:t> de obras de cine, televisión y audiovisuales de cualquier género, </w:t>
      </w:r>
      <w:r w:rsidRPr="00083B9C">
        <w:rPr>
          <w:rFonts w:ascii="Segoe UI" w:eastAsia="Times New Roman" w:hAnsi="Segoe UI" w:cs="Segoe UI"/>
          <w:i/>
          <w:iCs/>
          <w:color w:val="000000"/>
          <w:sz w:val="21"/>
          <w:szCs w:val="21"/>
          <w:u w:val="single"/>
          <w:lang w:eastAsia="es-419"/>
        </w:rPr>
        <w:t>exentos del impuesto sobre las ventas -IVA con derecho a devolución, conforme con lo establecido en el artículo 1.3.1.11.3. del presente Decreto, </w:t>
      </w:r>
      <w:r w:rsidRPr="00083B9C">
        <w:rPr>
          <w:rFonts w:ascii="Segoe UI" w:eastAsia="Times New Roman" w:hAnsi="Segoe UI" w:cs="Segoe UI"/>
          <w:i/>
          <w:iCs/>
          <w:color w:val="000000"/>
          <w:sz w:val="22"/>
          <w:szCs w:val="22"/>
          <w:lang w:eastAsia="es-419"/>
        </w:rPr>
        <w:t>certificada por revisor fiscal o contador público, según el caso, que contenga la información del período solicitado y de los que componen los arrastres, indicando </w:t>
      </w:r>
      <w:r w:rsidRPr="00083B9C">
        <w:rPr>
          <w:rFonts w:ascii="Segoe UI" w:eastAsia="Times New Roman" w:hAnsi="Segoe UI" w:cs="Segoe UI"/>
          <w:i/>
          <w:iCs/>
          <w:color w:val="000000"/>
          <w:sz w:val="21"/>
          <w:szCs w:val="21"/>
          <w:u w:val="single"/>
          <w:lang w:eastAsia="es-419"/>
        </w:rPr>
        <w:t>nombre y apellido o razón social, número de identificación tributaria -</w:t>
      </w:r>
      <w:proofErr w:type="spellStart"/>
      <w:r w:rsidRPr="00083B9C">
        <w:rPr>
          <w:rFonts w:ascii="Segoe UI" w:eastAsia="Times New Roman" w:hAnsi="Segoe UI" w:cs="Segoe UI"/>
          <w:i/>
          <w:iCs/>
          <w:color w:val="000000"/>
          <w:sz w:val="21"/>
          <w:szCs w:val="21"/>
          <w:u w:val="single"/>
          <w:lang w:eastAsia="es-419"/>
        </w:rPr>
        <w:t>NIT</w:t>
      </w:r>
      <w:proofErr w:type="spellEnd"/>
      <w:r w:rsidRPr="00083B9C">
        <w:rPr>
          <w:rFonts w:ascii="Segoe UI" w:eastAsia="Times New Roman" w:hAnsi="Segoe UI" w:cs="Segoe UI"/>
          <w:i/>
          <w:iCs/>
          <w:color w:val="000000"/>
          <w:sz w:val="21"/>
          <w:szCs w:val="21"/>
          <w:u w:val="single"/>
          <w:lang w:eastAsia="es-419"/>
        </w:rPr>
        <w:t xml:space="preserve"> y dirección del proveedor,</w:t>
      </w:r>
      <w:r w:rsidRPr="00083B9C">
        <w:rPr>
          <w:rFonts w:ascii="Segoe UI" w:eastAsia="Times New Roman" w:hAnsi="Segoe UI" w:cs="Segoe UI"/>
          <w:i/>
          <w:iCs/>
          <w:color w:val="000000"/>
          <w:sz w:val="22"/>
          <w:szCs w:val="22"/>
          <w:lang w:eastAsia="es-419"/>
        </w:rPr>
        <w:t> número y fecha de expedición de la factura y de la contabilización, base gravable y </w:t>
      </w:r>
      <w:r w:rsidRPr="00083B9C">
        <w:rPr>
          <w:rFonts w:ascii="Segoe UI" w:eastAsia="Times New Roman" w:hAnsi="Segoe UI" w:cs="Segoe UI"/>
          <w:i/>
          <w:iCs/>
          <w:color w:val="000000"/>
          <w:sz w:val="21"/>
          <w:szCs w:val="21"/>
          <w:u w:val="single"/>
          <w:lang w:eastAsia="es-419"/>
        </w:rPr>
        <w:t>tarifa del impuesto sobre las ventas -IVA a la que estuvo sujeta la operación,</w:t>
      </w:r>
      <w:r w:rsidRPr="00083B9C">
        <w:rPr>
          <w:rFonts w:ascii="Segoe UI" w:eastAsia="Times New Roman" w:hAnsi="Segoe UI" w:cs="Segoe UI"/>
          <w:i/>
          <w:iCs/>
          <w:color w:val="000000"/>
          <w:sz w:val="22"/>
          <w:szCs w:val="22"/>
          <w:lang w:eastAsia="es-419"/>
        </w:rPr>
        <w:t> concepto del costo o gasto, y </w:t>
      </w:r>
      <w:r w:rsidRPr="00083B9C">
        <w:rPr>
          <w:rFonts w:ascii="Segoe UI" w:eastAsia="Times New Roman" w:hAnsi="Segoe UI" w:cs="Segoe UI"/>
          <w:i/>
          <w:iCs/>
          <w:color w:val="000000"/>
          <w:sz w:val="21"/>
          <w:szCs w:val="21"/>
          <w:u w:val="single"/>
          <w:lang w:eastAsia="es-419"/>
        </w:rPr>
        <w:t>valor del impuesto descontable</w:t>
      </w:r>
      <w:r w:rsidRPr="00083B9C">
        <w:rPr>
          <w:rFonts w:ascii="Segoe UI" w:eastAsia="Times New Roman" w:hAnsi="Segoe UI" w:cs="Segoe UI"/>
          <w:i/>
          <w:iCs/>
          <w:color w:val="000000"/>
          <w:sz w:val="22"/>
          <w:szCs w:val="22"/>
          <w:lang w:eastAsia="es-419"/>
        </w:rPr>
        <w:t>.</w:t>
      </w:r>
    </w:p>
    <w:p w14:paraId="50747EB6" w14:textId="77777777" w:rsidR="00083B9C" w:rsidRPr="00083B9C" w:rsidRDefault="00083B9C" w:rsidP="00083B9C">
      <w:pPr>
        <w:spacing w:line="240" w:lineRule="auto"/>
        <w:ind w:left="284"/>
        <w:rPr>
          <w:rFonts w:ascii="Segoe UI" w:eastAsia="Times New Roman" w:hAnsi="Segoe UI" w:cs="Segoe UI"/>
          <w:color w:val="000000"/>
          <w:sz w:val="21"/>
          <w:szCs w:val="21"/>
          <w:lang w:eastAsia="es-419"/>
        </w:rPr>
      </w:pPr>
      <w:r w:rsidRPr="00083B9C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es-419"/>
        </w:rPr>
        <w:t> </w:t>
      </w:r>
    </w:p>
    <w:p w14:paraId="202DEFB3" w14:textId="77777777" w:rsidR="00083B9C" w:rsidRPr="00083B9C" w:rsidRDefault="00083B9C" w:rsidP="00083B9C">
      <w:pPr>
        <w:spacing w:line="240" w:lineRule="auto"/>
        <w:ind w:left="284"/>
        <w:rPr>
          <w:rFonts w:ascii="Segoe UI" w:eastAsia="Times New Roman" w:hAnsi="Segoe UI" w:cs="Segoe UI"/>
          <w:color w:val="000000"/>
          <w:sz w:val="21"/>
          <w:szCs w:val="21"/>
          <w:lang w:eastAsia="es-419"/>
        </w:rPr>
      </w:pPr>
      <w:r w:rsidRPr="00083B9C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es-419"/>
        </w:rPr>
        <w:t>4.3 Certificación bajo la gravedad de juramento por parte del representante legal en donde se indique que los servicios </w:t>
      </w:r>
      <w:r w:rsidRPr="00083B9C">
        <w:rPr>
          <w:rFonts w:ascii="Segoe UI" w:eastAsia="Times New Roman" w:hAnsi="Segoe UI" w:cs="Segoe UI"/>
          <w:i/>
          <w:iCs/>
          <w:color w:val="000000"/>
          <w:sz w:val="21"/>
          <w:szCs w:val="21"/>
          <w:u w:val="single"/>
          <w:lang w:eastAsia="es-419"/>
        </w:rPr>
        <w:t>relacionados con la producción</w:t>
      </w:r>
      <w:r w:rsidRPr="00083B9C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es-419"/>
        </w:rPr>
        <w:t> de obras de cine, televisión, audiovisuales de cualquier género, que estén protegidos por el derecho de autor, </w:t>
      </w:r>
      <w:r w:rsidRPr="00083B9C">
        <w:rPr>
          <w:rFonts w:ascii="Segoe UI" w:eastAsia="Times New Roman" w:hAnsi="Segoe UI" w:cs="Segoe UI"/>
          <w:i/>
          <w:iCs/>
          <w:color w:val="000000"/>
          <w:sz w:val="21"/>
          <w:szCs w:val="21"/>
          <w:u w:val="single"/>
          <w:lang w:eastAsia="es-419"/>
        </w:rPr>
        <w:t>una vez exportados serán difundidos desde el exterior por el beneficiario en el mercado internacional y que a ellos se puede acceder desde Colombia por cualquier medio tecnológico</w:t>
      </w:r>
      <w:r w:rsidRPr="00083B9C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es-419"/>
        </w:rPr>
        <w:t>". </w:t>
      </w:r>
      <w:r w:rsidRPr="00083B9C">
        <w:rPr>
          <w:rFonts w:ascii="Segoe UI" w:eastAsia="Times New Roman" w:hAnsi="Segoe UI" w:cs="Segoe UI"/>
          <w:color w:val="000000"/>
          <w:sz w:val="22"/>
          <w:szCs w:val="22"/>
          <w:lang w:eastAsia="es-419"/>
        </w:rPr>
        <w:t>(Subrayado fuera de texto).</w:t>
      </w:r>
    </w:p>
    <w:p w14:paraId="1D5168DE" w14:textId="77777777" w:rsidR="00083B9C" w:rsidRPr="00083B9C" w:rsidRDefault="00083B9C" w:rsidP="00083B9C">
      <w:pPr>
        <w:spacing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s-419"/>
        </w:rPr>
      </w:pPr>
      <w:r w:rsidRPr="00083B9C">
        <w:rPr>
          <w:rFonts w:ascii="Segoe UI" w:eastAsia="Times New Roman" w:hAnsi="Segoe UI" w:cs="Segoe UI"/>
          <w:color w:val="000000"/>
          <w:sz w:val="22"/>
          <w:szCs w:val="22"/>
          <w:lang w:eastAsia="es-419"/>
        </w:rPr>
        <w:t> </w:t>
      </w:r>
    </w:p>
    <w:p w14:paraId="5730C106" w14:textId="77777777" w:rsidR="00083B9C" w:rsidRPr="00083B9C" w:rsidRDefault="00083B9C" w:rsidP="00083B9C">
      <w:pPr>
        <w:spacing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s-419"/>
        </w:rPr>
      </w:pPr>
      <w:r w:rsidRPr="00083B9C">
        <w:rPr>
          <w:rFonts w:ascii="Segoe UI" w:eastAsia="Times New Roman" w:hAnsi="Segoe UI" w:cs="Segoe UI"/>
          <w:color w:val="000000"/>
          <w:sz w:val="22"/>
          <w:szCs w:val="22"/>
          <w:lang w:eastAsia="es-419"/>
        </w:rPr>
        <w:t>A su vez, el artículo 1.3.1.11.3. </w:t>
      </w:r>
      <w:r w:rsidRPr="00083B9C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es-419"/>
        </w:rPr>
        <w:t>ibídem</w:t>
      </w:r>
      <w:r w:rsidRPr="00083B9C">
        <w:rPr>
          <w:rFonts w:ascii="Segoe UI" w:eastAsia="Times New Roman" w:hAnsi="Segoe UI" w:cs="Segoe UI"/>
          <w:color w:val="000000"/>
          <w:sz w:val="22"/>
          <w:szCs w:val="22"/>
          <w:lang w:eastAsia="es-419"/>
        </w:rPr>
        <w:t> dispone:</w:t>
      </w:r>
    </w:p>
    <w:p w14:paraId="0469DBC0" w14:textId="77777777" w:rsidR="00083B9C" w:rsidRPr="00083B9C" w:rsidRDefault="00083B9C" w:rsidP="00083B9C">
      <w:pPr>
        <w:spacing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s-419"/>
        </w:rPr>
      </w:pPr>
      <w:r w:rsidRPr="00083B9C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es-419"/>
        </w:rPr>
        <w:t> </w:t>
      </w:r>
    </w:p>
    <w:p w14:paraId="6C1FFCAF" w14:textId="77777777" w:rsidR="00083B9C" w:rsidRPr="00083B9C" w:rsidRDefault="00083B9C" w:rsidP="00083B9C">
      <w:pPr>
        <w:spacing w:line="240" w:lineRule="auto"/>
        <w:ind w:left="284"/>
        <w:rPr>
          <w:rFonts w:ascii="Segoe UI" w:eastAsia="Times New Roman" w:hAnsi="Segoe UI" w:cs="Segoe UI"/>
          <w:color w:val="000000"/>
          <w:sz w:val="21"/>
          <w:szCs w:val="21"/>
          <w:lang w:eastAsia="es-419"/>
        </w:rPr>
      </w:pPr>
      <w:r w:rsidRPr="00083B9C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es-419"/>
        </w:rPr>
        <w:t>“Servicios </w:t>
      </w:r>
      <w:r w:rsidRPr="00083B9C">
        <w:rPr>
          <w:rFonts w:ascii="Segoe UI" w:eastAsia="Times New Roman" w:hAnsi="Segoe UI" w:cs="Segoe UI"/>
          <w:i/>
          <w:iCs/>
          <w:color w:val="000000"/>
          <w:sz w:val="21"/>
          <w:szCs w:val="21"/>
          <w:u w:val="single"/>
          <w:lang w:eastAsia="es-419"/>
        </w:rPr>
        <w:t>relacionados con la producción</w:t>
      </w:r>
      <w:r w:rsidRPr="00083B9C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es-419"/>
        </w:rPr>
        <w:t> de obras de cine, televisión y audiovisuales de cualquier género </w:t>
      </w:r>
      <w:r w:rsidRPr="00083B9C">
        <w:rPr>
          <w:rFonts w:ascii="Segoe UI" w:eastAsia="Times New Roman" w:hAnsi="Segoe UI" w:cs="Segoe UI"/>
          <w:i/>
          <w:iCs/>
          <w:color w:val="000000"/>
          <w:sz w:val="21"/>
          <w:szCs w:val="21"/>
          <w:u w:val="single"/>
          <w:lang w:eastAsia="es-419"/>
        </w:rPr>
        <w:t>exentos de IVA con derecho a devolución bimestral</w:t>
      </w:r>
      <w:r w:rsidRPr="00083B9C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es-419"/>
        </w:rPr>
        <w:t>. Para efectos de lo previsto en el parágrafo del </w:t>
      </w:r>
      <w:hyperlink r:id="rId8" w:tooltip="Estatuto Tributario CETA" w:history="1">
        <w:r w:rsidRPr="00083B9C">
          <w:rPr>
            <w:rFonts w:ascii="Segoe UI" w:eastAsia="Times New Roman" w:hAnsi="Segoe UI" w:cs="Segoe UI"/>
            <w:i/>
            <w:iCs/>
            <w:color w:val="0089E1"/>
            <w:sz w:val="21"/>
            <w:szCs w:val="21"/>
            <w:u w:val="single"/>
            <w:lang w:eastAsia="es-419"/>
          </w:rPr>
          <w:t>artículo 481</w:t>
        </w:r>
      </w:hyperlink>
      <w:r w:rsidRPr="00083B9C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es-419"/>
        </w:rPr>
        <w:t> del Estatuto Tributario, los servicios relacionados con la producción de obras de cine, televisión y audiovisuales de cualquier género son los siguientes:</w:t>
      </w:r>
    </w:p>
    <w:p w14:paraId="222DBEA9" w14:textId="77777777" w:rsidR="00083B9C" w:rsidRPr="00083B9C" w:rsidRDefault="00083B9C" w:rsidP="00083B9C">
      <w:pPr>
        <w:spacing w:line="240" w:lineRule="auto"/>
        <w:ind w:left="284"/>
        <w:rPr>
          <w:rFonts w:ascii="Segoe UI" w:eastAsia="Times New Roman" w:hAnsi="Segoe UI" w:cs="Segoe UI"/>
          <w:color w:val="000000"/>
          <w:sz w:val="21"/>
          <w:szCs w:val="21"/>
          <w:lang w:eastAsia="es-419"/>
        </w:rPr>
      </w:pPr>
      <w:r w:rsidRPr="00083B9C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es-419"/>
        </w:rPr>
        <w:t> </w:t>
      </w:r>
    </w:p>
    <w:p w14:paraId="4FF82140" w14:textId="77777777" w:rsidR="00083B9C" w:rsidRPr="00083B9C" w:rsidRDefault="00083B9C" w:rsidP="00083B9C">
      <w:pPr>
        <w:spacing w:line="240" w:lineRule="auto"/>
        <w:ind w:left="284"/>
        <w:rPr>
          <w:rFonts w:ascii="Segoe UI" w:eastAsia="Times New Roman" w:hAnsi="Segoe UI" w:cs="Segoe UI"/>
          <w:color w:val="000000"/>
          <w:sz w:val="21"/>
          <w:szCs w:val="21"/>
          <w:lang w:eastAsia="es-419"/>
        </w:rPr>
      </w:pPr>
      <w:r w:rsidRPr="00083B9C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es-419"/>
        </w:rPr>
        <w:t>1. Servicios profesionales y técnicos para la dirección general de la obra de cine, televisión y audiovisuales de cualquier género, incluyendo los servicios de alquiler de elementos y bienes.</w:t>
      </w:r>
    </w:p>
    <w:p w14:paraId="7D207581" w14:textId="77777777" w:rsidR="00083B9C" w:rsidRPr="00083B9C" w:rsidRDefault="00083B9C" w:rsidP="00083B9C">
      <w:pPr>
        <w:spacing w:line="240" w:lineRule="auto"/>
        <w:ind w:left="284"/>
        <w:rPr>
          <w:rFonts w:ascii="Segoe UI" w:eastAsia="Times New Roman" w:hAnsi="Segoe UI" w:cs="Segoe UI"/>
          <w:color w:val="000000"/>
          <w:sz w:val="21"/>
          <w:szCs w:val="21"/>
          <w:lang w:eastAsia="es-419"/>
        </w:rPr>
      </w:pPr>
      <w:r w:rsidRPr="00083B9C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es-419"/>
        </w:rPr>
        <w:t> </w:t>
      </w:r>
    </w:p>
    <w:p w14:paraId="6148CD39" w14:textId="77777777" w:rsidR="00083B9C" w:rsidRPr="00083B9C" w:rsidRDefault="00083B9C" w:rsidP="00083B9C">
      <w:pPr>
        <w:spacing w:line="240" w:lineRule="auto"/>
        <w:ind w:left="284"/>
        <w:rPr>
          <w:rFonts w:ascii="Segoe UI" w:eastAsia="Times New Roman" w:hAnsi="Segoe UI" w:cs="Segoe UI"/>
          <w:color w:val="000000"/>
          <w:sz w:val="21"/>
          <w:szCs w:val="21"/>
          <w:lang w:eastAsia="es-419"/>
        </w:rPr>
      </w:pPr>
      <w:r w:rsidRPr="00083B9C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es-419"/>
        </w:rPr>
        <w:t>2. Servicios profesionales y técnicos para la ejecución de la logística necesaria para la producción de la obra de cine, televisión y audiovisuales de cualquier género, incluyendo los servicios de alquiler de elementos y bienes.</w:t>
      </w:r>
    </w:p>
    <w:p w14:paraId="40F5EB2F" w14:textId="77777777" w:rsidR="00083B9C" w:rsidRPr="00083B9C" w:rsidRDefault="00083B9C" w:rsidP="00083B9C">
      <w:pPr>
        <w:spacing w:line="240" w:lineRule="auto"/>
        <w:ind w:left="284"/>
        <w:rPr>
          <w:rFonts w:ascii="Segoe UI" w:eastAsia="Times New Roman" w:hAnsi="Segoe UI" w:cs="Segoe UI"/>
          <w:color w:val="000000"/>
          <w:sz w:val="21"/>
          <w:szCs w:val="21"/>
          <w:lang w:eastAsia="es-419"/>
        </w:rPr>
      </w:pPr>
      <w:r w:rsidRPr="00083B9C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es-419"/>
        </w:rPr>
        <w:t> </w:t>
      </w:r>
    </w:p>
    <w:p w14:paraId="354C3DFF" w14:textId="77777777" w:rsidR="00083B9C" w:rsidRPr="00083B9C" w:rsidRDefault="00083B9C" w:rsidP="00083B9C">
      <w:pPr>
        <w:spacing w:line="240" w:lineRule="auto"/>
        <w:ind w:left="284"/>
        <w:rPr>
          <w:rFonts w:ascii="Segoe UI" w:eastAsia="Times New Roman" w:hAnsi="Segoe UI" w:cs="Segoe UI"/>
          <w:color w:val="000000"/>
          <w:sz w:val="21"/>
          <w:szCs w:val="21"/>
          <w:lang w:eastAsia="es-419"/>
        </w:rPr>
      </w:pPr>
      <w:r w:rsidRPr="00083B9C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es-419"/>
        </w:rPr>
        <w:t>3. Servicios profesionales y técnicos para la gerencia de locaciones en las que se realiza la producción de la obra, incluyendo los servicios de alquiler de elementos y bienes.</w:t>
      </w:r>
    </w:p>
    <w:p w14:paraId="48F323E5" w14:textId="77777777" w:rsidR="00083B9C" w:rsidRPr="00083B9C" w:rsidRDefault="00083B9C" w:rsidP="00083B9C">
      <w:pPr>
        <w:spacing w:line="240" w:lineRule="auto"/>
        <w:ind w:left="284"/>
        <w:rPr>
          <w:rFonts w:ascii="Segoe UI" w:eastAsia="Times New Roman" w:hAnsi="Segoe UI" w:cs="Segoe UI"/>
          <w:color w:val="000000"/>
          <w:sz w:val="21"/>
          <w:szCs w:val="21"/>
          <w:lang w:eastAsia="es-419"/>
        </w:rPr>
      </w:pPr>
      <w:r w:rsidRPr="00083B9C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es-419"/>
        </w:rPr>
        <w:t> </w:t>
      </w:r>
    </w:p>
    <w:p w14:paraId="32B4F43D" w14:textId="77777777" w:rsidR="00083B9C" w:rsidRPr="00083B9C" w:rsidRDefault="00083B9C" w:rsidP="00083B9C">
      <w:pPr>
        <w:spacing w:line="240" w:lineRule="auto"/>
        <w:ind w:left="284"/>
        <w:rPr>
          <w:rFonts w:ascii="Segoe UI" w:eastAsia="Times New Roman" w:hAnsi="Segoe UI" w:cs="Segoe UI"/>
          <w:color w:val="000000"/>
          <w:sz w:val="21"/>
          <w:szCs w:val="21"/>
          <w:lang w:eastAsia="es-419"/>
        </w:rPr>
      </w:pPr>
      <w:r w:rsidRPr="00083B9C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es-419"/>
        </w:rPr>
        <w:t>4. Servicios para el diseño y la dirección de fotografía, incluyendo los servicios de alquiler de elementos y bienes.</w:t>
      </w:r>
    </w:p>
    <w:p w14:paraId="630A9F26" w14:textId="77777777" w:rsidR="00083B9C" w:rsidRPr="00083B9C" w:rsidRDefault="00083B9C" w:rsidP="00083B9C">
      <w:pPr>
        <w:spacing w:line="240" w:lineRule="auto"/>
        <w:ind w:left="284"/>
        <w:rPr>
          <w:rFonts w:ascii="Segoe UI" w:eastAsia="Times New Roman" w:hAnsi="Segoe UI" w:cs="Segoe UI"/>
          <w:color w:val="000000"/>
          <w:sz w:val="21"/>
          <w:szCs w:val="21"/>
          <w:lang w:eastAsia="es-419"/>
        </w:rPr>
      </w:pPr>
      <w:r w:rsidRPr="00083B9C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es-419"/>
        </w:rPr>
        <w:t> </w:t>
      </w:r>
    </w:p>
    <w:p w14:paraId="29887097" w14:textId="77777777" w:rsidR="00083B9C" w:rsidRPr="00083B9C" w:rsidRDefault="00083B9C" w:rsidP="00083B9C">
      <w:pPr>
        <w:spacing w:line="240" w:lineRule="auto"/>
        <w:ind w:left="284"/>
        <w:rPr>
          <w:rFonts w:ascii="Segoe UI" w:eastAsia="Times New Roman" w:hAnsi="Segoe UI" w:cs="Segoe UI"/>
          <w:color w:val="000000"/>
          <w:sz w:val="21"/>
          <w:szCs w:val="21"/>
          <w:lang w:eastAsia="es-419"/>
        </w:rPr>
      </w:pPr>
      <w:r w:rsidRPr="00083B9C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es-419"/>
        </w:rPr>
        <w:lastRenderedPageBreak/>
        <w:t>5. Servicios para el diseño y la dirección de arte (escenografía, ambientación, utilería, vestuario, maquillaje, peinados, efectos especiales), incluyendo los servicios de alquiler de elementos y bienes.</w:t>
      </w:r>
    </w:p>
    <w:p w14:paraId="72540707" w14:textId="77777777" w:rsidR="00083B9C" w:rsidRPr="00083B9C" w:rsidRDefault="00083B9C" w:rsidP="00083B9C">
      <w:pPr>
        <w:spacing w:line="240" w:lineRule="auto"/>
        <w:ind w:left="284"/>
        <w:rPr>
          <w:rFonts w:ascii="Segoe UI" w:eastAsia="Times New Roman" w:hAnsi="Segoe UI" w:cs="Segoe UI"/>
          <w:color w:val="000000"/>
          <w:sz w:val="21"/>
          <w:szCs w:val="21"/>
          <w:lang w:eastAsia="es-419"/>
        </w:rPr>
      </w:pPr>
      <w:r w:rsidRPr="00083B9C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es-419"/>
        </w:rPr>
        <w:t> </w:t>
      </w:r>
    </w:p>
    <w:p w14:paraId="1C9E7DE6" w14:textId="77777777" w:rsidR="00083B9C" w:rsidRPr="00083B9C" w:rsidRDefault="00083B9C" w:rsidP="00083B9C">
      <w:pPr>
        <w:spacing w:line="240" w:lineRule="auto"/>
        <w:ind w:left="284"/>
        <w:rPr>
          <w:rFonts w:ascii="Segoe UI" w:eastAsia="Times New Roman" w:hAnsi="Segoe UI" w:cs="Segoe UI"/>
          <w:color w:val="000000"/>
          <w:sz w:val="21"/>
          <w:szCs w:val="21"/>
          <w:lang w:eastAsia="es-419"/>
        </w:rPr>
      </w:pPr>
      <w:r w:rsidRPr="00083B9C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es-419"/>
        </w:rPr>
        <w:t>6. Servicios para el diseño, la composición, la dirección y la edición del sonido y la música, incluyendo los servicios de alquiler de elementos y bienes.</w:t>
      </w:r>
    </w:p>
    <w:p w14:paraId="075098D4" w14:textId="77777777" w:rsidR="00083B9C" w:rsidRPr="00083B9C" w:rsidRDefault="00083B9C" w:rsidP="00083B9C">
      <w:pPr>
        <w:spacing w:line="240" w:lineRule="auto"/>
        <w:ind w:left="284"/>
        <w:rPr>
          <w:rFonts w:ascii="Segoe UI" w:eastAsia="Times New Roman" w:hAnsi="Segoe UI" w:cs="Segoe UI"/>
          <w:color w:val="000000"/>
          <w:sz w:val="21"/>
          <w:szCs w:val="21"/>
          <w:lang w:eastAsia="es-419"/>
        </w:rPr>
      </w:pPr>
      <w:r w:rsidRPr="00083B9C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es-419"/>
        </w:rPr>
        <w:t> </w:t>
      </w:r>
    </w:p>
    <w:p w14:paraId="3A03C04D" w14:textId="77777777" w:rsidR="00083B9C" w:rsidRPr="00083B9C" w:rsidRDefault="00083B9C" w:rsidP="00083B9C">
      <w:pPr>
        <w:spacing w:line="240" w:lineRule="auto"/>
        <w:ind w:left="284"/>
        <w:rPr>
          <w:rFonts w:ascii="Segoe UI" w:eastAsia="Times New Roman" w:hAnsi="Segoe UI" w:cs="Segoe UI"/>
          <w:color w:val="000000"/>
          <w:sz w:val="21"/>
          <w:szCs w:val="21"/>
          <w:lang w:eastAsia="es-419"/>
        </w:rPr>
      </w:pPr>
      <w:r w:rsidRPr="00083B9C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es-419"/>
        </w:rPr>
        <w:t>7. Servicios para los procesos de almacenamiento de material grabado, edición, efectos visuales, animación, masterización y finalización de imagen, incluyendo los de servicios alquiler de elementos y bienes.</w:t>
      </w:r>
    </w:p>
    <w:p w14:paraId="3CF52828" w14:textId="77777777" w:rsidR="00083B9C" w:rsidRPr="00083B9C" w:rsidRDefault="00083B9C" w:rsidP="00083B9C">
      <w:pPr>
        <w:spacing w:line="240" w:lineRule="auto"/>
        <w:ind w:left="284"/>
        <w:rPr>
          <w:rFonts w:ascii="Segoe UI" w:eastAsia="Times New Roman" w:hAnsi="Segoe UI" w:cs="Segoe UI"/>
          <w:color w:val="000000"/>
          <w:sz w:val="21"/>
          <w:szCs w:val="21"/>
          <w:lang w:eastAsia="es-419"/>
        </w:rPr>
      </w:pPr>
      <w:r w:rsidRPr="00083B9C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es-419"/>
        </w:rPr>
        <w:t> </w:t>
      </w:r>
    </w:p>
    <w:p w14:paraId="24126CBC" w14:textId="77777777" w:rsidR="00083B9C" w:rsidRPr="00083B9C" w:rsidRDefault="00083B9C" w:rsidP="00083B9C">
      <w:pPr>
        <w:spacing w:line="240" w:lineRule="auto"/>
        <w:ind w:left="284"/>
        <w:rPr>
          <w:rFonts w:ascii="Segoe UI" w:eastAsia="Times New Roman" w:hAnsi="Segoe UI" w:cs="Segoe UI"/>
          <w:color w:val="000000"/>
          <w:sz w:val="21"/>
          <w:szCs w:val="21"/>
          <w:lang w:eastAsia="es-419"/>
        </w:rPr>
      </w:pPr>
      <w:r w:rsidRPr="00083B9C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es-419"/>
        </w:rPr>
        <w:t>8. Los servicios de carácter administrativo, financiero, contable, jurídico, de seguridad y de salud en el trabajo, que estén directamente relacionados en esta etapa de producción. (...)”. </w:t>
      </w:r>
      <w:r w:rsidRPr="00083B9C">
        <w:rPr>
          <w:rFonts w:ascii="Segoe UI" w:eastAsia="Times New Roman" w:hAnsi="Segoe UI" w:cs="Segoe UI"/>
          <w:color w:val="000000"/>
          <w:sz w:val="22"/>
          <w:szCs w:val="22"/>
          <w:lang w:eastAsia="es-419"/>
        </w:rPr>
        <w:t>(Subrayado fuera de texto).</w:t>
      </w:r>
    </w:p>
    <w:p w14:paraId="71E238D8" w14:textId="77777777" w:rsidR="00083B9C" w:rsidRPr="00083B9C" w:rsidRDefault="00083B9C" w:rsidP="00083B9C">
      <w:pPr>
        <w:spacing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s-419"/>
        </w:rPr>
      </w:pPr>
      <w:r w:rsidRPr="00083B9C">
        <w:rPr>
          <w:rFonts w:ascii="Segoe UI" w:eastAsia="Times New Roman" w:hAnsi="Segoe UI" w:cs="Segoe UI"/>
          <w:color w:val="000000"/>
          <w:sz w:val="22"/>
          <w:szCs w:val="22"/>
          <w:lang w:eastAsia="es-419"/>
        </w:rPr>
        <w:t> </w:t>
      </w:r>
    </w:p>
    <w:p w14:paraId="0EAB9A6D" w14:textId="77777777" w:rsidR="00083B9C" w:rsidRPr="00083B9C" w:rsidRDefault="00083B9C" w:rsidP="00083B9C">
      <w:pPr>
        <w:spacing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s-419"/>
        </w:rPr>
      </w:pPr>
      <w:r w:rsidRPr="00083B9C">
        <w:rPr>
          <w:rFonts w:ascii="Segoe UI" w:eastAsia="Times New Roman" w:hAnsi="Segoe UI" w:cs="Segoe UI"/>
          <w:color w:val="000000"/>
          <w:sz w:val="22"/>
          <w:szCs w:val="22"/>
          <w:lang w:eastAsia="es-419"/>
        </w:rPr>
        <w:t>El parágrafo de esta última disposición precisa, sin embargo, que los </w:t>
      </w:r>
      <w:r w:rsidRPr="00083B9C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es-419"/>
        </w:rPr>
        <w:t>“Servicios </w:t>
      </w:r>
      <w:r w:rsidRPr="00083B9C">
        <w:rPr>
          <w:rFonts w:ascii="Segoe UI" w:eastAsia="Times New Roman" w:hAnsi="Segoe UI" w:cs="Segoe UI"/>
          <w:i/>
          <w:iCs/>
          <w:color w:val="000000"/>
          <w:sz w:val="21"/>
          <w:szCs w:val="21"/>
          <w:u w:val="single"/>
          <w:lang w:eastAsia="es-419"/>
        </w:rPr>
        <w:t>relacionados con el desarrollo</w:t>
      </w:r>
      <w:r w:rsidRPr="00083B9C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es-419"/>
        </w:rPr>
        <w:t> de obras de cine, televisión y audiovisuales de cualquier género”</w:t>
      </w:r>
      <w:r w:rsidRPr="00083B9C">
        <w:rPr>
          <w:rFonts w:ascii="Segoe UI" w:eastAsia="Times New Roman" w:hAnsi="Segoe UI" w:cs="Segoe UI"/>
          <w:color w:val="000000"/>
          <w:sz w:val="22"/>
          <w:szCs w:val="22"/>
          <w:lang w:eastAsia="es-419"/>
        </w:rPr>
        <w:t> (subrayado fuera de texto) (cfr. numeral 1 del artículo 1.3.1.11.2. del Decreto 1625 de 2016) y los </w:t>
      </w:r>
      <w:r w:rsidRPr="00083B9C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es-419"/>
        </w:rPr>
        <w:t>“Servicios </w:t>
      </w:r>
      <w:r w:rsidRPr="00083B9C">
        <w:rPr>
          <w:rFonts w:ascii="Segoe UI" w:eastAsia="Times New Roman" w:hAnsi="Segoe UI" w:cs="Segoe UI"/>
          <w:i/>
          <w:iCs/>
          <w:color w:val="000000"/>
          <w:sz w:val="21"/>
          <w:szCs w:val="21"/>
          <w:u w:val="single"/>
          <w:lang w:eastAsia="es-419"/>
        </w:rPr>
        <w:t>relacionados con la comercialización, promoción o publicidad</w:t>
      </w:r>
      <w:r w:rsidRPr="00083B9C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es-419"/>
        </w:rPr>
        <w:t> de obras de cine, televisión y audiovisuales de cualquier género”</w:t>
      </w:r>
      <w:r w:rsidRPr="00083B9C">
        <w:rPr>
          <w:rFonts w:ascii="Segoe UI" w:eastAsia="Times New Roman" w:hAnsi="Segoe UI" w:cs="Segoe UI"/>
          <w:color w:val="000000"/>
          <w:sz w:val="22"/>
          <w:szCs w:val="22"/>
          <w:lang w:eastAsia="es-419"/>
        </w:rPr>
        <w:t> (subrayado fuera de texto) (cfr. numeral 3 del artículo 1.3.1.11.2. </w:t>
      </w:r>
      <w:r w:rsidRPr="00083B9C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es-419"/>
        </w:rPr>
        <w:t>ibídem</w:t>
      </w:r>
      <w:r w:rsidRPr="00083B9C">
        <w:rPr>
          <w:rFonts w:ascii="Segoe UI" w:eastAsia="Times New Roman" w:hAnsi="Segoe UI" w:cs="Segoe UI"/>
          <w:color w:val="000000"/>
          <w:sz w:val="22"/>
          <w:szCs w:val="22"/>
          <w:lang w:eastAsia="es-419"/>
        </w:rPr>
        <w:t>) no se consideran exentos del IVA, aunque también hacen parte de la categoría de servicios </w:t>
      </w:r>
      <w:r w:rsidRPr="00083B9C">
        <w:rPr>
          <w:rFonts w:ascii="Segoe UI" w:eastAsia="Times New Roman" w:hAnsi="Segoe UI" w:cs="Segoe UI"/>
          <w:color w:val="000000"/>
          <w:sz w:val="21"/>
          <w:szCs w:val="21"/>
          <w:u w:val="single"/>
          <w:lang w:eastAsia="es-419"/>
        </w:rPr>
        <w:t>relacionados con la producción</w:t>
      </w:r>
      <w:r w:rsidRPr="00083B9C">
        <w:rPr>
          <w:rFonts w:ascii="Segoe UI" w:eastAsia="Times New Roman" w:hAnsi="Segoe UI" w:cs="Segoe UI"/>
          <w:color w:val="000000"/>
          <w:sz w:val="22"/>
          <w:szCs w:val="22"/>
          <w:lang w:eastAsia="es-419"/>
        </w:rPr>
        <w:t> de obras de cine, televisión y audiovisuales de cualquier género.</w:t>
      </w:r>
    </w:p>
    <w:p w14:paraId="6850070F" w14:textId="77777777" w:rsidR="00083B9C" w:rsidRPr="00083B9C" w:rsidRDefault="00083B9C" w:rsidP="00083B9C">
      <w:pPr>
        <w:spacing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s-419"/>
        </w:rPr>
      </w:pPr>
      <w:r w:rsidRPr="00083B9C">
        <w:rPr>
          <w:rFonts w:ascii="Segoe UI" w:eastAsia="Times New Roman" w:hAnsi="Segoe UI" w:cs="Segoe UI"/>
          <w:color w:val="000000"/>
          <w:sz w:val="22"/>
          <w:szCs w:val="22"/>
          <w:lang w:eastAsia="es-419"/>
        </w:rPr>
        <w:t> </w:t>
      </w:r>
    </w:p>
    <w:p w14:paraId="612BC4E1" w14:textId="77777777" w:rsidR="00083B9C" w:rsidRPr="00083B9C" w:rsidRDefault="00083B9C" w:rsidP="00083B9C">
      <w:pPr>
        <w:spacing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s-419"/>
        </w:rPr>
      </w:pPr>
      <w:r w:rsidRPr="00083B9C">
        <w:rPr>
          <w:rFonts w:ascii="Segoe UI" w:eastAsia="Times New Roman" w:hAnsi="Segoe UI" w:cs="Segoe UI"/>
          <w:color w:val="000000"/>
          <w:sz w:val="22"/>
          <w:szCs w:val="22"/>
          <w:lang w:eastAsia="es-419"/>
        </w:rPr>
        <w:t>Por lo tanto, para efectos del interrogante planteado, resulta palmario concluir que los servicios </w:t>
      </w:r>
      <w:r w:rsidRPr="00083B9C">
        <w:rPr>
          <w:rFonts w:ascii="Segoe UI" w:eastAsia="Times New Roman" w:hAnsi="Segoe UI" w:cs="Segoe UI"/>
          <w:color w:val="000000"/>
          <w:sz w:val="21"/>
          <w:szCs w:val="21"/>
          <w:u w:val="single"/>
          <w:lang w:eastAsia="es-419"/>
        </w:rPr>
        <w:t>relacionados con la producción</w:t>
      </w:r>
      <w:r w:rsidRPr="00083B9C">
        <w:rPr>
          <w:rFonts w:ascii="Segoe UI" w:eastAsia="Times New Roman" w:hAnsi="Segoe UI" w:cs="Segoe UI"/>
          <w:color w:val="000000"/>
          <w:sz w:val="22"/>
          <w:szCs w:val="22"/>
          <w:lang w:eastAsia="es-419"/>
        </w:rPr>
        <w:t> de obras de cine, televisión y audiovisuales de cualquier género (listados en el artículo 1.3.1.11.3. del Decreto 1625 de 2016), que presten proveedores nacionales al prestador del servicio de la producción de obras de cine, televisión y audiovisuales de cualquier género, están exentos del IVA. Tales servicios corresponden, en términos generales, a </w:t>
      </w:r>
      <w:r w:rsidRPr="00083B9C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es-419"/>
        </w:rPr>
        <w:t>“los servicios para la preparación y alistamiento para el rodaje, el rodaje y la finalización de la obra de cine, televisión y audiovisuales”</w:t>
      </w:r>
      <w:r w:rsidRPr="00083B9C">
        <w:rPr>
          <w:rFonts w:ascii="Segoe UI" w:eastAsia="Times New Roman" w:hAnsi="Segoe UI" w:cs="Segoe UI"/>
          <w:color w:val="000000"/>
          <w:sz w:val="22"/>
          <w:szCs w:val="22"/>
          <w:lang w:eastAsia="es-419"/>
        </w:rPr>
        <w:t> (cfr. numeral 2 del artículo 1.3.1.11.2. </w:t>
      </w:r>
      <w:r w:rsidRPr="00083B9C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es-419"/>
        </w:rPr>
        <w:t>ibídem</w:t>
      </w:r>
      <w:r w:rsidRPr="00083B9C">
        <w:rPr>
          <w:rFonts w:ascii="Segoe UI" w:eastAsia="Times New Roman" w:hAnsi="Segoe UI" w:cs="Segoe UI"/>
          <w:color w:val="000000"/>
          <w:sz w:val="22"/>
          <w:szCs w:val="22"/>
          <w:lang w:eastAsia="es-419"/>
        </w:rPr>
        <w:t>).</w:t>
      </w:r>
    </w:p>
    <w:p w14:paraId="672CE44C" w14:textId="77777777" w:rsidR="00083B9C" w:rsidRPr="00083B9C" w:rsidRDefault="00083B9C" w:rsidP="00083B9C">
      <w:pPr>
        <w:spacing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s-419"/>
        </w:rPr>
      </w:pPr>
      <w:r w:rsidRPr="00083B9C">
        <w:rPr>
          <w:rFonts w:ascii="Segoe UI" w:eastAsia="Times New Roman" w:hAnsi="Segoe UI" w:cs="Segoe UI"/>
          <w:color w:val="000000"/>
          <w:sz w:val="22"/>
          <w:szCs w:val="22"/>
          <w:lang w:eastAsia="es-419"/>
        </w:rPr>
        <w:t> </w:t>
      </w:r>
    </w:p>
    <w:p w14:paraId="403F1B6A" w14:textId="77777777" w:rsidR="00083B9C" w:rsidRPr="00083B9C" w:rsidRDefault="00083B9C" w:rsidP="00083B9C">
      <w:pPr>
        <w:spacing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s-419"/>
        </w:rPr>
      </w:pPr>
      <w:r w:rsidRPr="00083B9C">
        <w:rPr>
          <w:rFonts w:ascii="Segoe UI" w:eastAsia="Times New Roman" w:hAnsi="Segoe UI" w:cs="Segoe UI"/>
          <w:color w:val="000000"/>
          <w:sz w:val="22"/>
          <w:szCs w:val="22"/>
          <w:lang w:eastAsia="es-419"/>
        </w:rPr>
        <w:t>En lo que respecta a los servicios </w:t>
      </w:r>
      <w:r w:rsidRPr="00083B9C">
        <w:rPr>
          <w:rFonts w:ascii="Segoe UI" w:eastAsia="Times New Roman" w:hAnsi="Segoe UI" w:cs="Segoe UI"/>
          <w:color w:val="000000"/>
          <w:sz w:val="21"/>
          <w:szCs w:val="21"/>
          <w:u w:val="single"/>
          <w:lang w:eastAsia="es-419"/>
        </w:rPr>
        <w:t>relacionados con el desarrollo</w:t>
      </w:r>
      <w:r w:rsidRPr="00083B9C">
        <w:rPr>
          <w:rFonts w:ascii="Segoe UI" w:eastAsia="Times New Roman" w:hAnsi="Segoe UI" w:cs="Segoe UI"/>
          <w:color w:val="000000"/>
          <w:sz w:val="22"/>
          <w:szCs w:val="22"/>
          <w:lang w:eastAsia="es-419"/>
        </w:rPr>
        <w:t> de obras de cine, televisión y audiovisuales de cualquier género y los </w:t>
      </w:r>
      <w:r w:rsidRPr="00083B9C">
        <w:rPr>
          <w:rFonts w:ascii="Segoe UI" w:eastAsia="Times New Roman" w:hAnsi="Segoe UI" w:cs="Segoe UI"/>
          <w:color w:val="000000"/>
          <w:sz w:val="21"/>
          <w:szCs w:val="21"/>
          <w:u w:val="single"/>
          <w:lang w:eastAsia="es-419"/>
        </w:rPr>
        <w:t>relacionados con la comercialización, promoción o publicidad </w:t>
      </w:r>
      <w:r w:rsidRPr="00083B9C">
        <w:rPr>
          <w:rFonts w:ascii="Segoe UI" w:eastAsia="Times New Roman" w:hAnsi="Segoe UI" w:cs="Segoe UI"/>
          <w:color w:val="000000"/>
          <w:sz w:val="22"/>
          <w:szCs w:val="22"/>
          <w:lang w:eastAsia="es-419"/>
        </w:rPr>
        <w:t>de obras de cine, televisión y audiovisuales de cualquier género, éstos están gravados con el IVA, atendiendo el parágrafo del artículo 1.3.1.11.3. </w:t>
      </w:r>
      <w:r w:rsidRPr="00083B9C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es-419"/>
        </w:rPr>
        <w:t>ibídem</w:t>
      </w:r>
      <w:r w:rsidRPr="00083B9C">
        <w:rPr>
          <w:rFonts w:ascii="Segoe UI" w:eastAsia="Times New Roman" w:hAnsi="Segoe UI" w:cs="Segoe UI"/>
          <w:color w:val="000000"/>
          <w:sz w:val="22"/>
          <w:szCs w:val="22"/>
          <w:lang w:eastAsia="es-419"/>
        </w:rPr>
        <w:t>, cuando son prestados por proveedores nacionales al prestador del servicio de la producción de obras de cine, televisión y audiovisuales de cualquier género.</w:t>
      </w:r>
    </w:p>
    <w:p w14:paraId="500B8940" w14:textId="77777777" w:rsidR="00083B9C" w:rsidRPr="00083B9C" w:rsidRDefault="00083B9C" w:rsidP="00083B9C">
      <w:pPr>
        <w:spacing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s-419"/>
        </w:rPr>
      </w:pPr>
      <w:r w:rsidRPr="00083B9C">
        <w:rPr>
          <w:rFonts w:ascii="Segoe UI" w:eastAsia="Times New Roman" w:hAnsi="Segoe UI" w:cs="Segoe UI"/>
          <w:b/>
          <w:bCs/>
          <w:color w:val="000000"/>
          <w:sz w:val="22"/>
          <w:szCs w:val="22"/>
          <w:lang w:eastAsia="es-419"/>
        </w:rPr>
        <w:t> </w:t>
      </w:r>
    </w:p>
    <w:p w14:paraId="659D2A9F" w14:textId="77777777" w:rsidR="00083B9C" w:rsidRPr="00083B9C" w:rsidRDefault="00083B9C" w:rsidP="00083B9C">
      <w:pPr>
        <w:spacing w:line="240" w:lineRule="auto"/>
        <w:ind w:left="284"/>
        <w:rPr>
          <w:rFonts w:ascii="Segoe UI" w:eastAsia="Times New Roman" w:hAnsi="Segoe UI" w:cs="Segoe UI"/>
          <w:color w:val="000000"/>
          <w:sz w:val="21"/>
          <w:szCs w:val="21"/>
          <w:lang w:eastAsia="es-419"/>
        </w:rPr>
      </w:pPr>
      <w:r w:rsidRPr="00083B9C">
        <w:rPr>
          <w:rFonts w:ascii="Segoe UI" w:eastAsia="Times New Roman" w:hAnsi="Segoe UI" w:cs="Segoe UI"/>
          <w:b/>
          <w:bCs/>
          <w:color w:val="000000"/>
          <w:sz w:val="22"/>
          <w:szCs w:val="22"/>
          <w:lang w:eastAsia="es-419"/>
        </w:rPr>
        <w:t>B. </w:t>
      </w:r>
      <w:r w:rsidRPr="00083B9C">
        <w:rPr>
          <w:rFonts w:ascii="Segoe UI" w:eastAsia="Times New Roman" w:hAnsi="Segoe UI" w:cs="Segoe UI"/>
          <w:b/>
          <w:bCs/>
          <w:i/>
          <w:iCs/>
          <w:color w:val="000000"/>
          <w:sz w:val="21"/>
          <w:szCs w:val="21"/>
          <w:lang w:eastAsia="es-419"/>
        </w:rPr>
        <w:t>“(...) la emisión del documento soporte, en las operaciones o contratos realizados con no residentes, </w:t>
      </w:r>
      <w:r w:rsidRPr="00083B9C">
        <w:rPr>
          <w:rFonts w:ascii="Segoe UI" w:eastAsia="Times New Roman" w:hAnsi="Segoe UI" w:cs="Segoe UI"/>
          <w:b/>
          <w:bCs/>
          <w:i/>
          <w:iCs/>
          <w:color w:val="000000"/>
          <w:sz w:val="21"/>
          <w:szCs w:val="21"/>
          <w:u w:val="single"/>
          <w:lang w:eastAsia="es-419"/>
        </w:rPr>
        <w:t>es de expedición obligatoria</w:t>
      </w:r>
      <w:r w:rsidRPr="00083B9C">
        <w:rPr>
          <w:rFonts w:ascii="Segoe UI" w:eastAsia="Times New Roman" w:hAnsi="Segoe UI" w:cs="Segoe UI"/>
          <w:b/>
          <w:bCs/>
          <w:i/>
          <w:iCs/>
          <w:color w:val="000000"/>
          <w:sz w:val="21"/>
          <w:szCs w:val="21"/>
          <w:lang w:eastAsia="es-419"/>
        </w:rPr>
        <w:t> para el contribuyente colombiano beneficiario de los servicios prestados por el proveedor del exterior, o (...) por el contrario </w:t>
      </w:r>
      <w:r w:rsidRPr="00083B9C">
        <w:rPr>
          <w:rFonts w:ascii="Segoe UI" w:eastAsia="Times New Roman" w:hAnsi="Segoe UI" w:cs="Segoe UI"/>
          <w:b/>
          <w:bCs/>
          <w:i/>
          <w:iCs/>
          <w:color w:val="000000"/>
          <w:sz w:val="21"/>
          <w:szCs w:val="21"/>
          <w:u w:val="single"/>
          <w:lang w:eastAsia="es-419"/>
        </w:rPr>
        <w:t>es optativo teniendo en cuenta que existe norma reglamentaria según la cual el contrato en este tipo de operaciones es el soporte para todos los efectos tributarios</w:t>
      </w:r>
      <w:r w:rsidRPr="00083B9C">
        <w:rPr>
          <w:rFonts w:ascii="Segoe UI" w:eastAsia="Times New Roman" w:hAnsi="Segoe UI" w:cs="Segoe UI"/>
          <w:b/>
          <w:bCs/>
          <w:i/>
          <w:iCs/>
          <w:color w:val="000000"/>
          <w:sz w:val="21"/>
          <w:szCs w:val="21"/>
          <w:lang w:eastAsia="es-419"/>
        </w:rPr>
        <w:t>”</w:t>
      </w:r>
      <w:r w:rsidRPr="00083B9C">
        <w:rPr>
          <w:rFonts w:ascii="Segoe UI" w:eastAsia="Times New Roman" w:hAnsi="Segoe UI" w:cs="Segoe UI"/>
          <w:b/>
          <w:bCs/>
          <w:color w:val="000000"/>
          <w:sz w:val="22"/>
          <w:szCs w:val="22"/>
          <w:lang w:eastAsia="es-419"/>
        </w:rPr>
        <w:t> (Subrayado fuera de texto).</w:t>
      </w:r>
    </w:p>
    <w:p w14:paraId="597915D0" w14:textId="77777777" w:rsidR="00083B9C" w:rsidRPr="00083B9C" w:rsidRDefault="00083B9C" w:rsidP="00083B9C">
      <w:pPr>
        <w:spacing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s-419"/>
        </w:rPr>
      </w:pPr>
      <w:r w:rsidRPr="00083B9C">
        <w:rPr>
          <w:rFonts w:ascii="Segoe UI" w:eastAsia="Times New Roman" w:hAnsi="Segoe UI" w:cs="Segoe UI"/>
          <w:color w:val="000000"/>
          <w:sz w:val="22"/>
          <w:szCs w:val="22"/>
          <w:lang w:eastAsia="es-419"/>
        </w:rPr>
        <w:t> </w:t>
      </w:r>
    </w:p>
    <w:p w14:paraId="1546B6AA" w14:textId="77777777" w:rsidR="00083B9C" w:rsidRPr="00083B9C" w:rsidRDefault="00083B9C" w:rsidP="00083B9C">
      <w:pPr>
        <w:spacing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s-419"/>
        </w:rPr>
      </w:pPr>
      <w:r w:rsidRPr="00083B9C">
        <w:rPr>
          <w:rFonts w:ascii="Segoe UI" w:eastAsia="Times New Roman" w:hAnsi="Segoe UI" w:cs="Segoe UI"/>
          <w:color w:val="000000"/>
          <w:sz w:val="22"/>
          <w:szCs w:val="22"/>
          <w:lang w:eastAsia="es-419"/>
        </w:rPr>
        <w:t>El artículo 1.3.1.1.12. del Decreto 1625 de 2016, compilado del artículo 12 del Decreto 1165 de 1996, establece:</w:t>
      </w:r>
    </w:p>
    <w:p w14:paraId="54DA5306" w14:textId="77777777" w:rsidR="00083B9C" w:rsidRPr="00083B9C" w:rsidRDefault="00083B9C" w:rsidP="00083B9C">
      <w:pPr>
        <w:spacing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s-419"/>
        </w:rPr>
      </w:pPr>
      <w:r w:rsidRPr="00083B9C">
        <w:rPr>
          <w:rFonts w:ascii="Segoe UI" w:eastAsia="Times New Roman" w:hAnsi="Segoe UI" w:cs="Segoe UI"/>
          <w:color w:val="000000"/>
          <w:sz w:val="21"/>
          <w:szCs w:val="21"/>
          <w:lang w:eastAsia="es-419"/>
        </w:rPr>
        <w:t> </w:t>
      </w:r>
    </w:p>
    <w:p w14:paraId="56B00105" w14:textId="77777777" w:rsidR="00083B9C" w:rsidRPr="00083B9C" w:rsidRDefault="00083B9C" w:rsidP="00083B9C">
      <w:pPr>
        <w:spacing w:line="240" w:lineRule="auto"/>
        <w:ind w:left="284"/>
        <w:rPr>
          <w:rFonts w:ascii="Segoe UI" w:eastAsia="Times New Roman" w:hAnsi="Segoe UI" w:cs="Segoe UI"/>
          <w:color w:val="000000"/>
          <w:sz w:val="21"/>
          <w:szCs w:val="21"/>
          <w:lang w:eastAsia="es-419"/>
        </w:rPr>
      </w:pPr>
      <w:r w:rsidRPr="00083B9C">
        <w:rPr>
          <w:rFonts w:ascii="Segoe UI" w:eastAsia="Times New Roman" w:hAnsi="Segoe UI" w:cs="Segoe UI"/>
          <w:i/>
          <w:iCs/>
          <w:color w:val="000000"/>
          <w:sz w:val="22"/>
          <w:szCs w:val="22"/>
          <w:u w:val="single"/>
          <w:lang w:eastAsia="es-419"/>
        </w:rPr>
        <w:t>“Contratos con extranjeros sin domicilio o residencia en el país</w:t>
      </w:r>
      <w:r w:rsidRPr="00083B9C">
        <w:rPr>
          <w:rFonts w:ascii="Segoe UI" w:eastAsia="Times New Roman" w:hAnsi="Segoe UI" w:cs="Segoe UI"/>
          <w:i/>
          <w:iCs/>
          <w:color w:val="000000"/>
          <w:sz w:val="22"/>
          <w:szCs w:val="22"/>
          <w:lang w:eastAsia="es-419"/>
        </w:rPr>
        <w:t>. Para efectos de lo dispuesto en el numeral 3 del </w:t>
      </w:r>
      <w:hyperlink r:id="rId9" w:tooltip="Estatuto Tributario CETA" w:history="1">
        <w:r w:rsidRPr="00083B9C">
          <w:rPr>
            <w:rFonts w:ascii="Segoe UI" w:eastAsia="Times New Roman" w:hAnsi="Segoe UI" w:cs="Segoe UI"/>
            <w:i/>
            <w:iCs/>
            <w:color w:val="0089E1"/>
            <w:sz w:val="21"/>
            <w:szCs w:val="21"/>
            <w:u w:val="single"/>
            <w:lang w:eastAsia="es-419"/>
          </w:rPr>
          <w:t>artículo 437-2</w:t>
        </w:r>
      </w:hyperlink>
      <w:r w:rsidRPr="00083B9C">
        <w:rPr>
          <w:rFonts w:ascii="Segoe UI" w:eastAsia="Times New Roman" w:hAnsi="Segoe UI" w:cs="Segoe UI"/>
          <w:i/>
          <w:iCs/>
          <w:color w:val="000000"/>
          <w:sz w:val="22"/>
          <w:szCs w:val="22"/>
          <w:lang w:eastAsia="es-419"/>
        </w:rPr>
        <w:t> del Estatuto Tributario, en el contrato respectivo deberá discriminarse el valor del impuesto sobre las ventas generado que será objeto de retención por parte del contratante. El contrato </w:t>
      </w:r>
      <w:r w:rsidRPr="00083B9C">
        <w:rPr>
          <w:rFonts w:ascii="Segoe UI" w:eastAsia="Times New Roman" w:hAnsi="Segoe UI" w:cs="Segoe UI"/>
          <w:i/>
          <w:iCs/>
          <w:color w:val="000000"/>
          <w:sz w:val="21"/>
          <w:szCs w:val="21"/>
          <w:u w:val="single"/>
          <w:lang w:eastAsia="es-419"/>
        </w:rPr>
        <w:t>servirá como soporte para todos los efectos tributarios</w:t>
      </w:r>
      <w:r w:rsidRPr="00083B9C">
        <w:rPr>
          <w:rFonts w:ascii="Segoe UI" w:eastAsia="Times New Roman" w:hAnsi="Segoe UI" w:cs="Segoe UI"/>
          <w:i/>
          <w:iCs/>
          <w:color w:val="000000"/>
          <w:sz w:val="22"/>
          <w:szCs w:val="22"/>
          <w:lang w:eastAsia="es-419"/>
        </w:rPr>
        <w:t>". </w:t>
      </w:r>
      <w:r w:rsidRPr="00083B9C">
        <w:rPr>
          <w:rFonts w:ascii="Segoe UI" w:eastAsia="Times New Roman" w:hAnsi="Segoe UI" w:cs="Segoe UI"/>
          <w:color w:val="000000"/>
          <w:sz w:val="22"/>
          <w:szCs w:val="22"/>
          <w:lang w:eastAsia="es-419"/>
        </w:rPr>
        <w:t>(Subrayado fuera de texto).</w:t>
      </w:r>
    </w:p>
    <w:p w14:paraId="3923EF9D" w14:textId="77777777" w:rsidR="00083B9C" w:rsidRPr="00083B9C" w:rsidRDefault="00083B9C" w:rsidP="00083B9C">
      <w:pPr>
        <w:spacing w:line="240" w:lineRule="auto"/>
        <w:rPr>
          <w:rFonts w:ascii="Segoe UI" w:eastAsia="Times New Roman" w:hAnsi="Segoe UI" w:cs="Segoe UI"/>
          <w:color w:val="000000"/>
          <w:sz w:val="28"/>
          <w:szCs w:val="28"/>
          <w:lang w:eastAsia="es-419"/>
        </w:rPr>
      </w:pPr>
      <w:r w:rsidRPr="00083B9C">
        <w:rPr>
          <w:rFonts w:ascii="Segoe UI" w:eastAsia="Times New Roman" w:hAnsi="Segoe UI" w:cs="Segoe UI"/>
          <w:color w:val="000000"/>
          <w:sz w:val="28"/>
          <w:szCs w:val="28"/>
          <w:lang w:eastAsia="es-419"/>
        </w:rPr>
        <w:t> </w:t>
      </w:r>
    </w:p>
    <w:p w14:paraId="32AC28DC" w14:textId="77777777" w:rsidR="00083B9C" w:rsidRPr="00083B9C" w:rsidRDefault="00083B9C" w:rsidP="00083B9C">
      <w:pPr>
        <w:spacing w:line="240" w:lineRule="auto"/>
        <w:rPr>
          <w:rFonts w:ascii="Segoe UI" w:eastAsia="Times New Roman" w:hAnsi="Segoe UI" w:cs="Segoe UI"/>
          <w:color w:val="000000"/>
          <w:sz w:val="28"/>
          <w:szCs w:val="28"/>
          <w:lang w:eastAsia="es-419"/>
        </w:rPr>
      </w:pPr>
      <w:r w:rsidRPr="00083B9C">
        <w:rPr>
          <w:rFonts w:ascii="Segoe UI" w:eastAsia="Times New Roman" w:hAnsi="Segoe UI" w:cs="Segoe UI"/>
          <w:color w:val="000000"/>
          <w:sz w:val="28"/>
          <w:szCs w:val="28"/>
          <w:highlight w:val="yellow"/>
          <w:lang w:eastAsia="es-419"/>
        </w:rPr>
        <w:t>Por su parte, el artículo 1.6.1.4.12. </w:t>
      </w:r>
      <w:r w:rsidRPr="00083B9C">
        <w:rPr>
          <w:rFonts w:ascii="Segoe UI" w:eastAsia="Times New Roman" w:hAnsi="Segoe UI" w:cs="Segoe UI"/>
          <w:i/>
          <w:iCs/>
          <w:color w:val="000000"/>
          <w:sz w:val="28"/>
          <w:szCs w:val="28"/>
          <w:highlight w:val="yellow"/>
          <w:lang w:eastAsia="es-419"/>
        </w:rPr>
        <w:t>ibídem</w:t>
      </w:r>
      <w:r w:rsidRPr="00083B9C">
        <w:rPr>
          <w:rFonts w:ascii="Segoe UI" w:eastAsia="Times New Roman" w:hAnsi="Segoe UI" w:cs="Segoe UI"/>
          <w:color w:val="000000"/>
          <w:sz w:val="28"/>
          <w:szCs w:val="28"/>
          <w:highlight w:val="yellow"/>
          <w:lang w:eastAsia="es-419"/>
        </w:rPr>
        <w:t>, norma sustituida por el artículo 1° del Decreto 358 de 2020 y modificada por el artículo 2° del Decreto 723 de 2021, dispone:</w:t>
      </w:r>
    </w:p>
    <w:p w14:paraId="11A85D10" w14:textId="77777777" w:rsidR="00083B9C" w:rsidRPr="00083B9C" w:rsidRDefault="00083B9C" w:rsidP="00083B9C">
      <w:pPr>
        <w:spacing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s-419"/>
        </w:rPr>
      </w:pPr>
      <w:r w:rsidRPr="00083B9C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es-419"/>
        </w:rPr>
        <w:t> </w:t>
      </w:r>
    </w:p>
    <w:p w14:paraId="0306D9D3" w14:textId="77777777" w:rsidR="00083B9C" w:rsidRPr="00083B9C" w:rsidRDefault="00083B9C" w:rsidP="00083B9C">
      <w:pPr>
        <w:spacing w:line="240" w:lineRule="auto"/>
        <w:ind w:left="284"/>
        <w:rPr>
          <w:rFonts w:ascii="Segoe UI" w:eastAsia="Times New Roman" w:hAnsi="Segoe UI" w:cs="Segoe UI"/>
          <w:color w:val="000000"/>
          <w:sz w:val="21"/>
          <w:szCs w:val="21"/>
          <w:lang w:eastAsia="es-419"/>
        </w:rPr>
      </w:pPr>
      <w:r w:rsidRPr="00083B9C">
        <w:rPr>
          <w:rFonts w:ascii="Segoe UI" w:eastAsia="Times New Roman" w:hAnsi="Segoe UI" w:cs="Segoe UI"/>
          <w:i/>
          <w:iCs/>
          <w:color w:val="000000"/>
          <w:sz w:val="22"/>
          <w:szCs w:val="22"/>
          <w:lang w:eastAsia="es-419"/>
        </w:rPr>
        <w:t>“Documento soporte en adquisiciones efectuadas a sujetos no obligados a expedir factura de venta o documento equivalente. De conformidad con lo establecido en el </w:t>
      </w:r>
      <w:hyperlink r:id="rId10" w:tooltip="Estatuto Tributario CETA" w:history="1">
        <w:r w:rsidRPr="00083B9C">
          <w:rPr>
            <w:rFonts w:ascii="Segoe UI" w:eastAsia="Times New Roman" w:hAnsi="Segoe UI" w:cs="Segoe UI"/>
            <w:i/>
            <w:iCs/>
            <w:color w:val="0089E1"/>
            <w:sz w:val="21"/>
            <w:szCs w:val="21"/>
            <w:u w:val="single"/>
            <w:lang w:eastAsia="es-419"/>
          </w:rPr>
          <w:t>artículo 771-2</w:t>
        </w:r>
      </w:hyperlink>
      <w:r w:rsidRPr="00083B9C">
        <w:rPr>
          <w:rFonts w:ascii="Segoe UI" w:eastAsia="Times New Roman" w:hAnsi="Segoe UI" w:cs="Segoe UI"/>
          <w:i/>
          <w:iCs/>
          <w:color w:val="000000"/>
          <w:sz w:val="22"/>
          <w:szCs w:val="22"/>
          <w:lang w:eastAsia="es-419"/>
        </w:rPr>
        <w:t> del Estatuto Tributario, cuando se realicen transacciones con </w:t>
      </w:r>
      <w:r w:rsidRPr="00083B9C">
        <w:rPr>
          <w:rFonts w:ascii="Segoe UI" w:eastAsia="Times New Roman" w:hAnsi="Segoe UI" w:cs="Segoe UI"/>
          <w:i/>
          <w:iCs/>
          <w:color w:val="000000"/>
          <w:sz w:val="21"/>
          <w:szCs w:val="21"/>
          <w:u w:val="single"/>
          <w:lang w:eastAsia="es-419"/>
        </w:rPr>
        <w:t xml:space="preserve">sujetos no obligados a expedir factura de venta y/o documento </w:t>
      </w:r>
      <w:r w:rsidRPr="00083B9C">
        <w:rPr>
          <w:rFonts w:ascii="Segoe UI" w:eastAsia="Times New Roman" w:hAnsi="Segoe UI" w:cs="Segoe UI"/>
          <w:i/>
          <w:iCs/>
          <w:color w:val="000000"/>
          <w:sz w:val="21"/>
          <w:szCs w:val="21"/>
          <w:u w:val="single"/>
          <w:lang w:eastAsia="es-419"/>
        </w:rPr>
        <w:lastRenderedPageBreak/>
        <w:t>equivalente,</w:t>
      </w:r>
      <w:r w:rsidRPr="00083B9C">
        <w:rPr>
          <w:rFonts w:ascii="Segoe UI" w:eastAsia="Times New Roman" w:hAnsi="Segoe UI" w:cs="Segoe UI"/>
          <w:i/>
          <w:iCs/>
          <w:color w:val="000000"/>
          <w:sz w:val="22"/>
          <w:szCs w:val="22"/>
          <w:lang w:eastAsia="es-419"/>
        </w:rPr>
        <w:t> el documento soporte que pruebe la respectiva transacción que </w:t>
      </w:r>
      <w:r w:rsidRPr="00083B9C">
        <w:rPr>
          <w:rFonts w:ascii="Segoe UI" w:eastAsia="Times New Roman" w:hAnsi="Segoe UI" w:cs="Segoe UI"/>
          <w:i/>
          <w:iCs/>
          <w:color w:val="000000"/>
          <w:sz w:val="21"/>
          <w:szCs w:val="21"/>
          <w:u w:val="single"/>
          <w:lang w:eastAsia="es-419"/>
        </w:rPr>
        <w:t>da lugar a costos, deducciones, o impuestos descontables, deberá cumplir los siguientes requisitos y condiciones, y ser generado de forma física por parte del adquiriente del bien y/o servicio,</w:t>
      </w:r>
      <w:r w:rsidRPr="00083B9C">
        <w:rPr>
          <w:rFonts w:ascii="Segoe UI" w:eastAsia="Times New Roman" w:hAnsi="Segoe UI" w:cs="Segoe UI"/>
          <w:i/>
          <w:iCs/>
          <w:color w:val="000000"/>
          <w:sz w:val="22"/>
          <w:szCs w:val="22"/>
          <w:lang w:eastAsia="es-419"/>
        </w:rPr>
        <w:t> salvo cuando se trate de importación de bienes:</w:t>
      </w:r>
    </w:p>
    <w:p w14:paraId="38DF312B" w14:textId="77777777" w:rsidR="00083B9C" w:rsidRPr="00083B9C" w:rsidRDefault="00083B9C" w:rsidP="00083B9C">
      <w:pPr>
        <w:spacing w:line="240" w:lineRule="auto"/>
        <w:ind w:left="284"/>
        <w:rPr>
          <w:rFonts w:ascii="Segoe UI" w:eastAsia="Times New Roman" w:hAnsi="Segoe UI" w:cs="Segoe UI"/>
          <w:color w:val="000000"/>
          <w:sz w:val="21"/>
          <w:szCs w:val="21"/>
          <w:lang w:eastAsia="es-419"/>
        </w:rPr>
      </w:pPr>
      <w:r w:rsidRPr="00083B9C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es-419"/>
        </w:rPr>
        <w:t> </w:t>
      </w:r>
    </w:p>
    <w:p w14:paraId="656E1D55" w14:textId="77777777" w:rsidR="00083B9C" w:rsidRPr="00083B9C" w:rsidRDefault="00083B9C" w:rsidP="00083B9C">
      <w:pPr>
        <w:spacing w:line="240" w:lineRule="auto"/>
        <w:ind w:left="284"/>
        <w:rPr>
          <w:rFonts w:ascii="Segoe UI" w:eastAsia="Times New Roman" w:hAnsi="Segoe UI" w:cs="Segoe UI"/>
          <w:color w:val="000000"/>
          <w:sz w:val="21"/>
          <w:szCs w:val="21"/>
          <w:lang w:eastAsia="es-419"/>
        </w:rPr>
      </w:pPr>
      <w:r w:rsidRPr="00083B9C">
        <w:rPr>
          <w:rFonts w:ascii="Segoe UI" w:eastAsia="Times New Roman" w:hAnsi="Segoe UI" w:cs="Segoe UI"/>
          <w:i/>
          <w:iCs/>
          <w:color w:val="000000"/>
          <w:sz w:val="22"/>
          <w:szCs w:val="22"/>
          <w:lang w:eastAsia="es-419"/>
        </w:rPr>
        <w:t>(…)</w:t>
      </w:r>
    </w:p>
    <w:p w14:paraId="4C682723" w14:textId="77777777" w:rsidR="00083B9C" w:rsidRPr="00083B9C" w:rsidRDefault="00083B9C" w:rsidP="00083B9C">
      <w:pPr>
        <w:spacing w:line="240" w:lineRule="auto"/>
        <w:ind w:left="284"/>
        <w:rPr>
          <w:rFonts w:ascii="Segoe UI" w:eastAsia="Times New Roman" w:hAnsi="Segoe UI" w:cs="Segoe UI"/>
          <w:color w:val="000000"/>
          <w:sz w:val="21"/>
          <w:szCs w:val="21"/>
          <w:lang w:eastAsia="es-419"/>
        </w:rPr>
      </w:pPr>
      <w:r w:rsidRPr="00083B9C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es-419"/>
        </w:rPr>
        <w:t> </w:t>
      </w:r>
    </w:p>
    <w:p w14:paraId="52B23AB6" w14:textId="77777777" w:rsidR="00083B9C" w:rsidRPr="00083B9C" w:rsidRDefault="00083B9C" w:rsidP="00083B9C">
      <w:pPr>
        <w:spacing w:line="240" w:lineRule="auto"/>
        <w:ind w:left="284"/>
        <w:rPr>
          <w:rFonts w:ascii="Segoe UI" w:eastAsia="Times New Roman" w:hAnsi="Segoe UI" w:cs="Segoe UI"/>
          <w:color w:val="000000"/>
          <w:sz w:val="21"/>
          <w:szCs w:val="21"/>
          <w:lang w:eastAsia="es-419"/>
        </w:rPr>
      </w:pPr>
      <w:r w:rsidRPr="00083B9C">
        <w:rPr>
          <w:rFonts w:ascii="Segoe UI" w:eastAsia="Times New Roman" w:hAnsi="Segoe UI" w:cs="Segoe UI"/>
          <w:i/>
          <w:iCs/>
          <w:color w:val="000000"/>
          <w:sz w:val="22"/>
          <w:szCs w:val="22"/>
          <w:lang w:eastAsia="es-419"/>
        </w:rPr>
        <w:t>PARÁGRAFO 1. (...)</w:t>
      </w:r>
    </w:p>
    <w:p w14:paraId="1A833F85" w14:textId="77777777" w:rsidR="00083B9C" w:rsidRPr="00083B9C" w:rsidRDefault="00083B9C" w:rsidP="00083B9C">
      <w:pPr>
        <w:spacing w:line="240" w:lineRule="auto"/>
        <w:ind w:left="284"/>
        <w:rPr>
          <w:rFonts w:ascii="Segoe UI" w:eastAsia="Times New Roman" w:hAnsi="Segoe UI" w:cs="Segoe UI"/>
          <w:color w:val="000000"/>
          <w:sz w:val="21"/>
          <w:szCs w:val="21"/>
          <w:lang w:eastAsia="es-419"/>
        </w:rPr>
      </w:pPr>
      <w:r w:rsidRPr="00083B9C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es-419"/>
        </w:rPr>
        <w:t> </w:t>
      </w:r>
    </w:p>
    <w:p w14:paraId="38289E45" w14:textId="77777777" w:rsidR="00083B9C" w:rsidRPr="00083B9C" w:rsidRDefault="00083B9C" w:rsidP="00083B9C">
      <w:pPr>
        <w:spacing w:line="240" w:lineRule="auto"/>
        <w:ind w:left="284"/>
        <w:rPr>
          <w:rFonts w:ascii="Segoe UI" w:eastAsia="Times New Roman" w:hAnsi="Segoe UI" w:cs="Segoe UI"/>
          <w:color w:val="000000"/>
          <w:sz w:val="21"/>
          <w:szCs w:val="21"/>
          <w:lang w:eastAsia="es-419"/>
        </w:rPr>
      </w:pPr>
      <w:r w:rsidRPr="00083B9C">
        <w:rPr>
          <w:rFonts w:ascii="Segoe UI" w:eastAsia="Times New Roman" w:hAnsi="Segoe UI" w:cs="Segoe UI"/>
          <w:i/>
          <w:iCs/>
          <w:color w:val="000000"/>
          <w:sz w:val="22"/>
          <w:szCs w:val="22"/>
          <w:highlight w:val="yellow"/>
          <w:lang w:eastAsia="es-419"/>
        </w:rPr>
        <w:t>El documento soporte de que trata el presente artículo </w:t>
      </w:r>
      <w:r w:rsidRPr="00083B9C">
        <w:rPr>
          <w:rFonts w:ascii="Segoe UI" w:eastAsia="Times New Roman" w:hAnsi="Segoe UI" w:cs="Segoe UI"/>
          <w:i/>
          <w:iCs/>
          <w:color w:val="000000"/>
          <w:sz w:val="21"/>
          <w:szCs w:val="21"/>
          <w:highlight w:val="yellow"/>
          <w:u w:val="single"/>
          <w:lang w:eastAsia="es-419"/>
        </w:rPr>
        <w:t>será válido en los contratos celebrados con personas o entidades no residentes en Colombia, en cuyo caso, se deberán cumplir los requisitos establecidos en este artículo</w:t>
      </w:r>
      <w:r w:rsidRPr="00083B9C">
        <w:rPr>
          <w:rFonts w:ascii="Segoe UI" w:eastAsia="Times New Roman" w:hAnsi="Segoe UI" w:cs="Segoe UI"/>
          <w:i/>
          <w:iCs/>
          <w:color w:val="000000"/>
          <w:sz w:val="22"/>
          <w:szCs w:val="22"/>
          <w:highlight w:val="yellow"/>
          <w:lang w:eastAsia="es-419"/>
        </w:rPr>
        <w:t>. Para la procedencia del impuesto sobre las ventas -IVA descontable se deberá acreditar, adicionalmente, que se ha practicado la respectiva retención en la fuente a título de impuesto sobre las ventas de conformidad con el numeral 3 del </w:t>
      </w:r>
      <w:hyperlink r:id="rId11" w:tooltip="Estatuto Tributario CETA" w:history="1">
        <w:r w:rsidRPr="00083B9C">
          <w:rPr>
            <w:rFonts w:ascii="Segoe UI" w:eastAsia="Times New Roman" w:hAnsi="Segoe UI" w:cs="Segoe UI"/>
            <w:i/>
            <w:iCs/>
            <w:color w:val="0089E1"/>
            <w:sz w:val="21"/>
            <w:szCs w:val="21"/>
            <w:highlight w:val="yellow"/>
            <w:u w:val="single"/>
            <w:lang w:eastAsia="es-419"/>
          </w:rPr>
          <w:t>artículo 437-2</w:t>
        </w:r>
      </w:hyperlink>
      <w:r w:rsidRPr="00083B9C">
        <w:rPr>
          <w:rFonts w:ascii="Segoe UI" w:eastAsia="Times New Roman" w:hAnsi="Segoe UI" w:cs="Segoe UI"/>
          <w:i/>
          <w:iCs/>
          <w:color w:val="000000"/>
          <w:sz w:val="22"/>
          <w:szCs w:val="22"/>
          <w:highlight w:val="yellow"/>
          <w:lang w:eastAsia="es-419"/>
        </w:rPr>
        <w:t> del Estatuto Tributario y/o a título de impuesto sobre la renta.</w:t>
      </w:r>
    </w:p>
    <w:p w14:paraId="094C8573" w14:textId="77777777" w:rsidR="00083B9C" w:rsidRPr="00083B9C" w:rsidRDefault="00083B9C" w:rsidP="00083B9C">
      <w:pPr>
        <w:spacing w:line="240" w:lineRule="auto"/>
        <w:ind w:left="284"/>
        <w:rPr>
          <w:rFonts w:ascii="Segoe UI" w:eastAsia="Times New Roman" w:hAnsi="Segoe UI" w:cs="Segoe UI"/>
          <w:color w:val="000000"/>
          <w:sz w:val="21"/>
          <w:szCs w:val="21"/>
          <w:lang w:eastAsia="es-419"/>
        </w:rPr>
      </w:pPr>
      <w:r w:rsidRPr="00083B9C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es-419"/>
        </w:rPr>
        <w:t> </w:t>
      </w:r>
    </w:p>
    <w:p w14:paraId="57A85216" w14:textId="77777777" w:rsidR="00083B9C" w:rsidRPr="00083B9C" w:rsidRDefault="00083B9C" w:rsidP="00083B9C">
      <w:pPr>
        <w:spacing w:line="240" w:lineRule="auto"/>
        <w:ind w:left="284"/>
        <w:rPr>
          <w:rFonts w:ascii="Segoe UI" w:eastAsia="Times New Roman" w:hAnsi="Segoe UI" w:cs="Segoe UI"/>
          <w:color w:val="000000"/>
          <w:sz w:val="21"/>
          <w:szCs w:val="21"/>
          <w:lang w:eastAsia="es-419"/>
        </w:rPr>
      </w:pPr>
      <w:r w:rsidRPr="00083B9C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es-419"/>
        </w:rPr>
        <w:t>(...)”.</w:t>
      </w:r>
      <w:r w:rsidRPr="00083B9C">
        <w:rPr>
          <w:rFonts w:ascii="Segoe UI" w:eastAsia="Times New Roman" w:hAnsi="Segoe UI" w:cs="Segoe UI"/>
          <w:color w:val="000000"/>
          <w:sz w:val="22"/>
          <w:szCs w:val="22"/>
          <w:lang w:eastAsia="es-419"/>
        </w:rPr>
        <w:t> (Subrayado fuera de texto).</w:t>
      </w:r>
    </w:p>
    <w:p w14:paraId="6F61F081" w14:textId="77777777" w:rsidR="00083B9C" w:rsidRPr="00083B9C" w:rsidRDefault="00083B9C" w:rsidP="00083B9C">
      <w:pPr>
        <w:spacing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s-419"/>
        </w:rPr>
      </w:pPr>
      <w:r w:rsidRPr="00083B9C">
        <w:rPr>
          <w:rFonts w:ascii="Segoe UI" w:eastAsia="Times New Roman" w:hAnsi="Segoe UI" w:cs="Segoe UI"/>
          <w:color w:val="000000"/>
          <w:sz w:val="22"/>
          <w:szCs w:val="22"/>
          <w:lang w:eastAsia="es-419"/>
        </w:rPr>
        <w:t> </w:t>
      </w:r>
    </w:p>
    <w:p w14:paraId="1B546EE4" w14:textId="77777777" w:rsidR="00083B9C" w:rsidRPr="00083B9C" w:rsidRDefault="00083B9C" w:rsidP="00083B9C">
      <w:pPr>
        <w:spacing w:line="240" w:lineRule="auto"/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es-419"/>
        </w:rPr>
      </w:pPr>
      <w:r w:rsidRPr="00083B9C">
        <w:rPr>
          <w:rFonts w:ascii="Segoe UI" w:eastAsia="Times New Roman" w:hAnsi="Segoe UI" w:cs="Segoe UI"/>
          <w:b/>
          <w:bCs/>
          <w:color w:val="000000"/>
          <w:sz w:val="22"/>
          <w:szCs w:val="22"/>
          <w:highlight w:val="yellow"/>
          <w:lang w:eastAsia="es-419"/>
        </w:rPr>
        <w:t>Por ende, al tratarse de una disposición posterior en el tiempo (</w:t>
      </w:r>
      <w:r w:rsidRPr="00083B9C">
        <w:rPr>
          <w:rFonts w:ascii="Segoe UI" w:eastAsia="Times New Roman" w:hAnsi="Segoe UI" w:cs="Segoe UI"/>
          <w:b/>
          <w:bCs/>
          <w:i/>
          <w:iCs/>
          <w:color w:val="000000"/>
          <w:sz w:val="21"/>
          <w:szCs w:val="21"/>
          <w:highlight w:val="yellow"/>
          <w:lang w:eastAsia="es-419"/>
        </w:rPr>
        <w:t xml:space="preserve">lex posterior </w:t>
      </w:r>
      <w:proofErr w:type="spellStart"/>
      <w:r w:rsidRPr="00083B9C">
        <w:rPr>
          <w:rFonts w:ascii="Segoe UI" w:eastAsia="Times New Roman" w:hAnsi="Segoe UI" w:cs="Segoe UI"/>
          <w:b/>
          <w:bCs/>
          <w:i/>
          <w:iCs/>
          <w:color w:val="000000"/>
          <w:sz w:val="21"/>
          <w:szCs w:val="21"/>
          <w:highlight w:val="yellow"/>
          <w:lang w:eastAsia="es-419"/>
        </w:rPr>
        <w:t>derogat</w:t>
      </w:r>
      <w:proofErr w:type="spellEnd"/>
      <w:r w:rsidRPr="00083B9C">
        <w:rPr>
          <w:rFonts w:ascii="Segoe UI" w:eastAsia="Times New Roman" w:hAnsi="Segoe UI" w:cs="Segoe UI"/>
          <w:b/>
          <w:bCs/>
          <w:i/>
          <w:iCs/>
          <w:color w:val="000000"/>
          <w:sz w:val="21"/>
          <w:szCs w:val="21"/>
          <w:highlight w:val="yellow"/>
          <w:lang w:eastAsia="es-419"/>
        </w:rPr>
        <w:t xml:space="preserve"> priori</w:t>
      </w:r>
      <w:r w:rsidRPr="00083B9C">
        <w:rPr>
          <w:rFonts w:ascii="Segoe UI" w:eastAsia="Times New Roman" w:hAnsi="Segoe UI" w:cs="Segoe UI"/>
          <w:b/>
          <w:bCs/>
          <w:color w:val="000000"/>
          <w:sz w:val="22"/>
          <w:szCs w:val="22"/>
          <w:highlight w:val="yellow"/>
          <w:lang w:eastAsia="es-419"/>
        </w:rPr>
        <w:t>) y especial (</w:t>
      </w:r>
      <w:r w:rsidRPr="00083B9C">
        <w:rPr>
          <w:rFonts w:ascii="Segoe UI" w:eastAsia="Times New Roman" w:hAnsi="Segoe UI" w:cs="Segoe UI"/>
          <w:b/>
          <w:bCs/>
          <w:i/>
          <w:iCs/>
          <w:color w:val="000000"/>
          <w:sz w:val="21"/>
          <w:szCs w:val="21"/>
          <w:highlight w:val="yellow"/>
          <w:lang w:eastAsia="es-419"/>
        </w:rPr>
        <w:t xml:space="preserve">lex </w:t>
      </w:r>
      <w:proofErr w:type="spellStart"/>
      <w:r w:rsidRPr="00083B9C">
        <w:rPr>
          <w:rFonts w:ascii="Segoe UI" w:eastAsia="Times New Roman" w:hAnsi="Segoe UI" w:cs="Segoe UI"/>
          <w:b/>
          <w:bCs/>
          <w:i/>
          <w:iCs/>
          <w:color w:val="000000"/>
          <w:sz w:val="21"/>
          <w:szCs w:val="21"/>
          <w:highlight w:val="yellow"/>
          <w:lang w:eastAsia="es-419"/>
        </w:rPr>
        <w:t>specialis</w:t>
      </w:r>
      <w:proofErr w:type="spellEnd"/>
      <w:r w:rsidRPr="00083B9C">
        <w:rPr>
          <w:rFonts w:ascii="Segoe UI" w:eastAsia="Times New Roman" w:hAnsi="Segoe UI" w:cs="Segoe UI"/>
          <w:b/>
          <w:bCs/>
          <w:i/>
          <w:iCs/>
          <w:color w:val="000000"/>
          <w:sz w:val="21"/>
          <w:szCs w:val="21"/>
          <w:highlight w:val="yellow"/>
          <w:lang w:eastAsia="es-419"/>
        </w:rPr>
        <w:t xml:space="preserve"> </w:t>
      </w:r>
      <w:proofErr w:type="spellStart"/>
      <w:r w:rsidRPr="00083B9C">
        <w:rPr>
          <w:rFonts w:ascii="Segoe UI" w:eastAsia="Times New Roman" w:hAnsi="Segoe UI" w:cs="Segoe UI"/>
          <w:b/>
          <w:bCs/>
          <w:i/>
          <w:iCs/>
          <w:color w:val="000000"/>
          <w:sz w:val="21"/>
          <w:szCs w:val="21"/>
          <w:highlight w:val="yellow"/>
          <w:lang w:eastAsia="es-419"/>
        </w:rPr>
        <w:t>derogat</w:t>
      </w:r>
      <w:proofErr w:type="spellEnd"/>
      <w:r w:rsidRPr="00083B9C">
        <w:rPr>
          <w:rFonts w:ascii="Segoe UI" w:eastAsia="Times New Roman" w:hAnsi="Segoe UI" w:cs="Segoe UI"/>
          <w:b/>
          <w:bCs/>
          <w:i/>
          <w:iCs/>
          <w:color w:val="000000"/>
          <w:sz w:val="21"/>
          <w:szCs w:val="21"/>
          <w:highlight w:val="yellow"/>
          <w:lang w:eastAsia="es-419"/>
        </w:rPr>
        <w:t xml:space="preserve"> </w:t>
      </w:r>
      <w:proofErr w:type="spellStart"/>
      <w:r w:rsidRPr="00083B9C">
        <w:rPr>
          <w:rFonts w:ascii="Segoe UI" w:eastAsia="Times New Roman" w:hAnsi="Segoe UI" w:cs="Segoe UI"/>
          <w:b/>
          <w:bCs/>
          <w:i/>
          <w:iCs/>
          <w:color w:val="000000"/>
          <w:sz w:val="21"/>
          <w:szCs w:val="21"/>
          <w:highlight w:val="yellow"/>
          <w:lang w:eastAsia="es-419"/>
        </w:rPr>
        <w:t>generali</w:t>
      </w:r>
      <w:proofErr w:type="spellEnd"/>
      <w:r w:rsidRPr="00083B9C">
        <w:rPr>
          <w:rFonts w:ascii="Segoe UI" w:eastAsia="Times New Roman" w:hAnsi="Segoe UI" w:cs="Segoe UI"/>
          <w:b/>
          <w:bCs/>
          <w:color w:val="000000"/>
          <w:sz w:val="22"/>
          <w:szCs w:val="22"/>
          <w:highlight w:val="yellow"/>
          <w:lang w:eastAsia="es-419"/>
        </w:rPr>
        <w:t>), es de colegir que, para efectos de soportar costos, deducciones e impuestos descontables, los servicios contratados con personas o entidades sin residencia en Colombia deben estar soportados en el documento de que trata el artículo 1.6.1.4.12. del Decreto 1625 de 2016, cuando a ello haya lugar, no siendo suficiente -por lo tanto- el contrato mismo para tales propósitos.</w:t>
      </w:r>
    </w:p>
    <w:p w14:paraId="112ED535" w14:textId="77777777" w:rsidR="00083B9C" w:rsidRPr="00083B9C" w:rsidRDefault="00083B9C" w:rsidP="00083B9C">
      <w:pPr>
        <w:spacing w:line="240" w:lineRule="auto"/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es-419"/>
        </w:rPr>
      </w:pPr>
      <w:r w:rsidRPr="00083B9C">
        <w:rPr>
          <w:rFonts w:ascii="Segoe UI" w:eastAsia="Times New Roman" w:hAnsi="Segoe UI" w:cs="Segoe UI"/>
          <w:b/>
          <w:bCs/>
          <w:color w:val="000000"/>
          <w:sz w:val="22"/>
          <w:szCs w:val="22"/>
          <w:lang w:eastAsia="es-419"/>
        </w:rPr>
        <w:t> </w:t>
      </w:r>
    </w:p>
    <w:p w14:paraId="4CB60475" w14:textId="77777777" w:rsidR="00083B9C" w:rsidRPr="00083B9C" w:rsidRDefault="00083B9C" w:rsidP="00083B9C">
      <w:pPr>
        <w:spacing w:line="240" w:lineRule="auto"/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es-419"/>
        </w:rPr>
      </w:pPr>
      <w:r w:rsidRPr="00083B9C">
        <w:rPr>
          <w:rFonts w:ascii="Segoe UI" w:eastAsia="Times New Roman" w:hAnsi="Segoe UI" w:cs="Segoe UI"/>
          <w:b/>
          <w:bCs/>
          <w:color w:val="000000"/>
          <w:sz w:val="22"/>
          <w:szCs w:val="22"/>
          <w:highlight w:val="yellow"/>
          <w:lang w:eastAsia="es-419"/>
        </w:rPr>
        <w:t>Valga anotar que el parágrafo del citado artículo 1.6.1.4.12. expresamente contempla que el documento soporte en adquisiciones efectuadas a sujetos no obligados a expedir factura de venta o documento equivalente es válido en los contratos objeto de consulta.</w:t>
      </w:r>
    </w:p>
    <w:p w14:paraId="7DD5CACD" w14:textId="77777777" w:rsidR="00083B9C" w:rsidRPr="00083B9C" w:rsidRDefault="00083B9C" w:rsidP="00083B9C">
      <w:pPr>
        <w:spacing w:line="240" w:lineRule="auto"/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es-419"/>
        </w:rPr>
      </w:pPr>
      <w:r w:rsidRPr="00083B9C">
        <w:rPr>
          <w:rFonts w:ascii="Segoe UI" w:eastAsia="Times New Roman" w:hAnsi="Segoe UI" w:cs="Segoe UI"/>
          <w:b/>
          <w:bCs/>
          <w:color w:val="000000"/>
          <w:sz w:val="22"/>
          <w:szCs w:val="22"/>
          <w:lang w:eastAsia="es-419"/>
        </w:rPr>
        <w:t> </w:t>
      </w:r>
    </w:p>
    <w:p w14:paraId="296EEC18" w14:textId="77777777" w:rsidR="00083B9C" w:rsidRPr="00083B9C" w:rsidRDefault="00083B9C" w:rsidP="00083B9C">
      <w:pPr>
        <w:spacing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s-419"/>
        </w:rPr>
      </w:pPr>
      <w:r w:rsidRPr="00083B9C">
        <w:rPr>
          <w:rFonts w:ascii="Segoe UI" w:eastAsia="Times New Roman" w:hAnsi="Segoe UI" w:cs="Segoe UI"/>
          <w:color w:val="000000"/>
          <w:sz w:val="22"/>
          <w:szCs w:val="22"/>
          <w:lang w:eastAsia="es-419"/>
        </w:rPr>
        <w:t>Atentamente,</w:t>
      </w:r>
    </w:p>
    <w:p w14:paraId="1F6425B8" w14:textId="77777777" w:rsidR="00083B9C" w:rsidRPr="00083B9C" w:rsidRDefault="00083B9C" w:rsidP="00083B9C">
      <w:pPr>
        <w:spacing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s-419"/>
        </w:rPr>
      </w:pPr>
      <w:r w:rsidRPr="00083B9C">
        <w:rPr>
          <w:rFonts w:ascii="Segoe UI" w:eastAsia="Times New Roman" w:hAnsi="Segoe UI" w:cs="Segoe UI"/>
          <w:color w:val="000000"/>
          <w:sz w:val="22"/>
          <w:szCs w:val="22"/>
          <w:lang w:eastAsia="es-419"/>
        </w:rPr>
        <w:t> </w:t>
      </w:r>
    </w:p>
    <w:p w14:paraId="6007C4E1" w14:textId="77777777" w:rsidR="00083B9C" w:rsidRPr="00083B9C" w:rsidRDefault="00083B9C" w:rsidP="00083B9C">
      <w:pPr>
        <w:spacing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s-419"/>
        </w:rPr>
      </w:pPr>
      <w:r w:rsidRPr="00083B9C">
        <w:rPr>
          <w:rFonts w:ascii="Segoe UI" w:eastAsia="Times New Roman" w:hAnsi="Segoe UI" w:cs="Segoe UI"/>
          <w:color w:val="000000"/>
          <w:sz w:val="22"/>
          <w:szCs w:val="22"/>
          <w:lang w:eastAsia="es-419"/>
        </w:rPr>
        <w:t> </w:t>
      </w:r>
    </w:p>
    <w:p w14:paraId="2518DF0E" w14:textId="77777777" w:rsidR="00083B9C" w:rsidRPr="00083B9C" w:rsidRDefault="00083B9C" w:rsidP="00083B9C">
      <w:pPr>
        <w:spacing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s-419"/>
        </w:rPr>
      </w:pPr>
      <w:r w:rsidRPr="00083B9C">
        <w:rPr>
          <w:rFonts w:ascii="Segoe UI" w:eastAsia="Times New Roman" w:hAnsi="Segoe UI" w:cs="Segoe UI"/>
          <w:b/>
          <w:bCs/>
          <w:color w:val="000000"/>
          <w:sz w:val="22"/>
          <w:szCs w:val="22"/>
          <w:lang w:eastAsia="es-419"/>
        </w:rPr>
        <w:t>NICOLÁS BERNAL ABELLA</w:t>
      </w:r>
    </w:p>
    <w:p w14:paraId="4631E477" w14:textId="77777777" w:rsidR="00083B9C" w:rsidRPr="00083B9C" w:rsidRDefault="00083B9C" w:rsidP="00083B9C">
      <w:pPr>
        <w:spacing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s-419"/>
        </w:rPr>
      </w:pPr>
      <w:r w:rsidRPr="00083B9C">
        <w:rPr>
          <w:rFonts w:ascii="Segoe UI" w:eastAsia="Times New Roman" w:hAnsi="Segoe UI" w:cs="Segoe UI"/>
          <w:color w:val="000000"/>
          <w:sz w:val="22"/>
          <w:szCs w:val="22"/>
          <w:lang w:eastAsia="es-419"/>
        </w:rPr>
        <w:t>Subdirector de Normativa y Doctrina (E)</w:t>
      </w:r>
    </w:p>
    <w:p w14:paraId="031694E8" w14:textId="77777777" w:rsidR="00083B9C" w:rsidRPr="00083B9C" w:rsidRDefault="00083B9C" w:rsidP="00083B9C">
      <w:pPr>
        <w:spacing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s-419"/>
        </w:rPr>
      </w:pPr>
      <w:r w:rsidRPr="00083B9C">
        <w:rPr>
          <w:rFonts w:ascii="Segoe UI" w:eastAsia="Times New Roman" w:hAnsi="Segoe UI" w:cs="Segoe UI"/>
          <w:color w:val="000000"/>
          <w:sz w:val="22"/>
          <w:szCs w:val="22"/>
          <w:lang w:eastAsia="es-419"/>
        </w:rPr>
        <w:t>Dirección de Gestión Jurídica</w:t>
      </w:r>
    </w:p>
    <w:p w14:paraId="145B3C6F" w14:textId="04B9943A" w:rsidR="00083B9C" w:rsidRDefault="00083B9C" w:rsidP="00083B9C">
      <w:pPr>
        <w:spacing w:line="240" w:lineRule="auto"/>
        <w:rPr>
          <w:rFonts w:ascii="Segoe UI" w:eastAsia="Times New Roman" w:hAnsi="Segoe UI" w:cs="Segoe UI"/>
          <w:color w:val="000000"/>
          <w:sz w:val="22"/>
          <w:szCs w:val="22"/>
          <w:lang w:eastAsia="es-419"/>
        </w:rPr>
      </w:pPr>
      <w:proofErr w:type="spellStart"/>
      <w:r w:rsidRPr="00083B9C">
        <w:rPr>
          <w:rFonts w:ascii="Segoe UI" w:eastAsia="Times New Roman" w:hAnsi="Segoe UI" w:cs="Segoe UI"/>
          <w:color w:val="000000"/>
          <w:sz w:val="22"/>
          <w:szCs w:val="22"/>
          <w:lang w:eastAsia="es-419"/>
        </w:rPr>
        <w:t>UAE</w:t>
      </w:r>
      <w:proofErr w:type="spellEnd"/>
      <w:r w:rsidRPr="00083B9C">
        <w:rPr>
          <w:rFonts w:ascii="Segoe UI" w:eastAsia="Times New Roman" w:hAnsi="Segoe UI" w:cs="Segoe UI"/>
          <w:color w:val="000000"/>
          <w:sz w:val="22"/>
          <w:szCs w:val="22"/>
          <w:lang w:eastAsia="es-419"/>
        </w:rPr>
        <w:t>-Dirección de Impuestos y Aduanas Nacionales</w:t>
      </w:r>
    </w:p>
    <w:p w14:paraId="5E78185C" w14:textId="121C58F9" w:rsidR="00083B9C" w:rsidRPr="00083B9C" w:rsidRDefault="00083B9C" w:rsidP="00083B9C">
      <w:pPr>
        <w:spacing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s-419"/>
        </w:rPr>
      </w:pPr>
      <w:r>
        <w:rPr>
          <w:rFonts w:ascii="Segoe UI" w:eastAsia="Times New Roman" w:hAnsi="Segoe UI" w:cs="Segoe UI"/>
          <w:color w:val="000000"/>
          <w:sz w:val="22"/>
          <w:szCs w:val="22"/>
          <w:lang w:eastAsia="es-419"/>
        </w:rPr>
        <w:t>__________________________________________________________________________________________________________</w:t>
      </w:r>
    </w:p>
    <w:p w14:paraId="73C42D21" w14:textId="77777777" w:rsidR="002F3F02" w:rsidRDefault="002F3F02" w:rsidP="00083B9C"/>
    <w:sectPr w:rsidR="002F3F02" w:rsidSect="00A613E5">
      <w:pgSz w:w="12189" w:h="18709" w:code="10000"/>
      <w:pgMar w:top="1077" w:right="1077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60C40"/>
    <w:multiLevelType w:val="multilevel"/>
    <w:tmpl w:val="580A001D"/>
    <w:styleLink w:val="DEMANDAS"/>
    <w:lvl w:ilvl="0">
      <w:start w:val="1"/>
      <w:numFmt w:val="decimal"/>
      <w:lvlText w:val="%1)"/>
      <w:lvlJc w:val="left"/>
      <w:pPr>
        <w:ind w:left="360" w:hanging="360"/>
      </w:pPr>
      <w:rPr>
        <w:rFonts w:ascii="Century Gothic" w:hAnsi="Century Gothic"/>
        <w:b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80684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B9C"/>
    <w:rsid w:val="00083B9C"/>
    <w:rsid w:val="002F3F02"/>
    <w:rsid w:val="004A489D"/>
    <w:rsid w:val="004F1D2E"/>
    <w:rsid w:val="005173B2"/>
    <w:rsid w:val="00840411"/>
    <w:rsid w:val="00885E73"/>
    <w:rsid w:val="009705EC"/>
    <w:rsid w:val="00A613E5"/>
    <w:rsid w:val="00A91F78"/>
    <w:rsid w:val="00AE7AD8"/>
    <w:rsid w:val="00B21583"/>
    <w:rsid w:val="00B76269"/>
    <w:rsid w:val="00BE074B"/>
    <w:rsid w:val="00CA1F22"/>
    <w:rsid w:val="00CC19F3"/>
    <w:rsid w:val="00CC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30B34"/>
  <w15:chartTrackingRefBased/>
  <w15:docId w15:val="{42D01B69-5668-4F7B-90DA-7099D4D35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="Arial"/>
        <w:sz w:val="24"/>
        <w:szCs w:val="24"/>
        <w:lang w:val="es-419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D9A"/>
  </w:style>
  <w:style w:type="paragraph" w:styleId="Ttulo1">
    <w:name w:val="heading 1"/>
    <w:basedOn w:val="Normal"/>
    <w:next w:val="Normal"/>
    <w:link w:val="Ttulo1Car"/>
    <w:uiPriority w:val="9"/>
    <w:qFormat/>
    <w:rsid w:val="00CC2D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C2D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DEMANDAS">
    <w:name w:val="DEMANDAS"/>
    <w:uiPriority w:val="99"/>
    <w:rsid w:val="00885E73"/>
    <w:pPr>
      <w:numPr>
        <w:numId w:val="1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CC2D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C2D9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Textoennegrita">
    <w:name w:val="Strong"/>
    <w:basedOn w:val="Fuentedeprrafopredeter"/>
    <w:uiPriority w:val="22"/>
    <w:qFormat/>
    <w:rsid w:val="00CC2D9A"/>
    <w:rPr>
      <w:b/>
      <w:bCs/>
    </w:rPr>
  </w:style>
  <w:style w:type="paragraph" w:styleId="Prrafodelista">
    <w:name w:val="List Paragraph"/>
    <w:basedOn w:val="Normal"/>
    <w:uiPriority w:val="34"/>
    <w:qFormat/>
    <w:rsid w:val="00CC2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ta.org.co/html/vista_de_un_articulo.asp?Norma=60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eta.org.co/html/vista_de_un_articulo.asp?Norma=60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eta.org.co/html/vista_de_un_articulo.asp?Norma=601" TargetMode="External"/><Relationship Id="rId11" Type="http://schemas.openxmlformats.org/officeDocument/2006/relationships/hyperlink" Target="https://www.ceta.org.co/html/vista_de_un_articulo.asp?Norma=550" TargetMode="External"/><Relationship Id="rId5" Type="http://schemas.openxmlformats.org/officeDocument/2006/relationships/hyperlink" Target="https://www.ceta.org.co/html/vista_de_un_articulo.asp?Norma=601" TargetMode="External"/><Relationship Id="rId10" Type="http://schemas.openxmlformats.org/officeDocument/2006/relationships/hyperlink" Target="https://www.ceta.org.co/html/vista_de_un_articulo.asp?Norma=9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eta.org.co/html/vista_de_un_articulo.asp?Norma=55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2052</Words>
  <Characters>11286</Characters>
  <Application>Microsoft Office Word</Application>
  <DocSecurity>0</DocSecurity>
  <Lines>94</Lines>
  <Paragraphs>26</Paragraphs>
  <ScaleCrop>false</ScaleCrop>
  <Company/>
  <LinksUpToDate>false</LinksUpToDate>
  <CharactersWithSpaces>13312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Alexandra Orozco López</dc:creator>
  <cp:keywords/>
  <dc:description/>
  <cp:lastModifiedBy>Diana Alexandra Orozco López</cp:lastModifiedBy>
  <cp:revision>1</cp:revision>
  <dcterms:created xsi:type="dcterms:W3CDTF">2022-09-30T00:26:00Z</dcterms:created>
  <dcterms:modified xsi:type="dcterms:W3CDTF">2022-09-30T00:35:00Z</dcterms:modified>
</cp:coreProperties>
</file>