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1F2C9" w14:textId="77777777" w:rsidR="007A3B40" w:rsidRPr="007A3B40" w:rsidRDefault="007A3B40" w:rsidP="007A3B40">
      <w:pPr>
        <w:pStyle w:val="NormalWeb"/>
        <w:shd w:val="clear" w:color="auto" w:fill="FFFFFF"/>
        <w:spacing w:before="0" w:beforeAutospacing="0" w:after="0" w:afterAutospacing="0" w:line="360" w:lineRule="auto"/>
        <w:jc w:val="center"/>
        <w:rPr>
          <w:color w:val="555555"/>
          <w:highlight w:val="green"/>
        </w:rPr>
      </w:pPr>
      <w:r w:rsidRPr="007A3B40">
        <w:rPr>
          <w:b/>
          <w:bCs/>
          <w:color w:val="0000FF"/>
          <w:highlight w:val="green"/>
        </w:rPr>
        <w:t xml:space="preserve">OFICIO </w:t>
      </w:r>
      <w:proofErr w:type="spellStart"/>
      <w:r w:rsidRPr="007A3B40">
        <w:rPr>
          <w:b/>
          <w:bCs/>
          <w:color w:val="0000FF"/>
          <w:highlight w:val="green"/>
        </w:rPr>
        <w:t>Nº</w:t>
      </w:r>
      <w:proofErr w:type="spellEnd"/>
      <w:r w:rsidRPr="007A3B40">
        <w:rPr>
          <w:b/>
          <w:bCs/>
          <w:color w:val="0000FF"/>
          <w:highlight w:val="green"/>
        </w:rPr>
        <w:t xml:space="preserve"> 033661</w:t>
      </w:r>
    </w:p>
    <w:p w14:paraId="088BB109" w14:textId="77777777" w:rsidR="007A3B40" w:rsidRPr="007A3B40" w:rsidRDefault="007A3B40" w:rsidP="007A3B40">
      <w:pPr>
        <w:pStyle w:val="NormalWeb"/>
        <w:shd w:val="clear" w:color="auto" w:fill="FFFFFF"/>
        <w:spacing w:before="0" w:beforeAutospacing="0" w:after="0" w:afterAutospacing="0" w:line="360" w:lineRule="auto"/>
        <w:jc w:val="center"/>
        <w:rPr>
          <w:color w:val="555555"/>
          <w:highlight w:val="green"/>
        </w:rPr>
      </w:pPr>
      <w:r w:rsidRPr="007A3B40">
        <w:rPr>
          <w:b/>
          <w:bCs/>
          <w:color w:val="0000FF"/>
          <w:highlight w:val="green"/>
        </w:rPr>
        <w:t>20-11-2018</w:t>
      </w:r>
    </w:p>
    <w:p w14:paraId="72135998" w14:textId="77777777" w:rsidR="007A3B40" w:rsidRPr="007A3B40" w:rsidRDefault="007A3B40" w:rsidP="007A3B40">
      <w:pPr>
        <w:pStyle w:val="NormalWeb"/>
        <w:shd w:val="clear" w:color="auto" w:fill="FFFFFF"/>
        <w:spacing w:before="0" w:beforeAutospacing="0" w:after="0" w:afterAutospacing="0" w:line="360" w:lineRule="auto"/>
        <w:jc w:val="center"/>
        <w:rPr>
          <w:color w:val="555555"/>
        </w:rPr>
      </w:pPr>
      <w:r w:rsidRPr="007A3B40">
        <w:rPr>
          <w:b/>
          <w:bCs/>
          <w:color w:val="0000FF"/>
          <w:highlight w:val="green"/>
        </w:rPr>
        <w:t>DIAN</w:t>
      </w:r>
    </w:p>
    <w:p w14:paraId="6B611D4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07AE4F6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5298F1E"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Subdirección de Gestión Normativa y Doctrina</w:t>
      </w:r>
    </w:p>
    <w:p w14:paraId="6664442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100208221 – 002038</w:t>
      </w:r>
    </w:p>
    <w:p w14:paraId="2F981065"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Bogotá, D.C.</w:t>
      </w:r>
    </w:p>
    <w:p w14:paraId="77B9C64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2CF9B9D0"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proofErr w:type="spellStart"/>
      <w:r w:rsidRPr="007A3B40">
        <w:rPr>
          <w:b/>
          <w:bCs/>
          <w:color w:val="000000"/>
        </w:rPr>
        <w:t>Ref</w:t>
      </w:r>
      <w:proofErr w:type="spellEnd"/>
      <w:r w:rsidRPr="007A3B40">
        <w:rPr>
          <w:b/>
          <w:bCs/>
          <w:color w:val="000000"/>
        </w:rPr>
        <w:t>:</w:t>
      </w:r>
      <w:r w:rsidRPr="007A3B40">
        <w:rPr>
          <w:color w:val="000000"/>
        </w:rPr>
        <w:t> Radicado 100065743 del 05/10/2018</w:t>
      </w:r>
    </w:p>
    <w:p w14:paraId="035A36C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36F5594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b/>
          <w:bCs/>
          <w:color w:val="000000"/>
        </w:rPr>
        <w:t>Tema </w:t>
      </w:r>
      <w:r w:rsidRPr="007A3B40">
        <w:rPr>
          <w:color w:val="000000"/>
        </w:rPr>
        <w:t>Impuesto sobre la renta y complementarios</w:t>
      </w:r>
    </w:p>
    <w:p w14:paraId="7D6F97FD"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b/>
          <w:bCs/>
          <w:color w:val="000000"/>
        </w:rPr>
        <w:t>Descriptores </w:t>
      </w:r>
      <w:r w:rsidRPr="007A3B40">
        <w:rPr>
          <w:color w:val="000000"/>
        </w:rPr>
        <w:t>Impuestos (Sic) Sobre la Renta</w:t>
      </w:r>
    </w:p>
    <w:p w14:paraId="3D26CDE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b/>
          <w:bCs/>
          <w:color w:val="000000"/>
        </w:rPr>
        <w:t>Fuentes formales </w:t>
      </w:r>
      <w:r w:rsidRPr="007A3B40">
        <w:rPr>
          <w:color w:val="000000"/>
        </w:rPr>
        <w:t>Artículos 26, 381, 596, 800 del Estatuto Tributario, Artículo 1.2.4.2.32 del Decreto 1625 de 2016.</w:t>
      </w:r>
    </w:p>
    <w:p w14:paraId="14B50C14"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009D1ED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26B564E4"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Cordial saludo, señora Silvia Steffany:</w:t>
      </w:r>
    </w:p>
    <w:p w14:paraId="17EC548D"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0745C68"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14:paraId="6B09E64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5D4D1F7"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En consecuencia, las competencias que por ley están atribuidas a esta Subdirección no conllevan la de resolver problemas sobre temas específicos que correspondan a un caso particular o prestar asesoría respecto de asuntos debatidos ante autoridades judiciales.</w:t>
      </w:r>
    </w:p>
    <w:p w14:paraId="0087E15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7DCED78"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Ahora, en cuanto a las preguntas formuladas y que para atender con mayor precisión sus inquietudes se enunciarán más adelante, sirve para todas de manera preliminar tener en cuenta el fundamento siguiente:</w:t>
      </w:r>
    </w:p>
    <w:p w14:paraId="718F0223"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1651F38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Según el artículo 26 del Estatuto Tributario todo ingreso susceptible de producir un incremento neto en el patrimonio en el momento de su percepción, que no haya sido expresamente exceptuado, restados los costos y deducciones, es renta líquida gravable y sobre esta renta se aplican las tarifas señaladas en la ley.</w:t>
      </w:r>
    </w:p>
    <w:p w14:paraId="60F82A6D"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B809421"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26. LOS INGRESOS SON BASE DE LA RENTA LÍQUIDA.</w:t>
      </w:r>
      <w:r w:rsidRPr="007A3B40">
        <w:rPr>
          <w:i/>
          <w:iCs/>
          <w:color w:val="000000"/>
        </w:rPr>
        <w:t xml:space="preserve"> &lt;Fuente original compilada: D. 2053/74 Art. 15&gt; La renta líquida gravable se determina así: de la suma de todos los ingresos ordinarios y extraordinarios realizados en el año o período gravable, que sean </w:t>
      </w:r>
      <w:r w:rsidRPr="007A3B40">
        <w:rPr>
          <w:i/>
          <w:iCs/>
          <w:color w:val="000000"/>
        </w:rPr>
        <w:lastRenderedPageBreak/>
        <w:t>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 la renta líquida. Salvo las excepciones legales, la renta líquida es renta gravable y a ella se aplican las tarifas señaladas en la ley”.</w:t>
      </w:r>
    </w:p>
    <w:p w14:paraId="7EBF8B7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1556D13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Una vez nace la obligación, el sujeto pasivo de la obligación, esto es sobre quien recae el impuesto, debe poner en conocimiento la obligación tributaria surgida de los hechos gravados al Estado (sujeto activo), mediante la declaración privada de ese impuesto. El artículo 596 del Estatuto Tributario, indican los elementos de la declaración privada, es decir hecha por el contribuyente, de la forma de declarar el impuesto de renta.</w:t>
      </w:r>
    </w:p>
    <w:p w14:paraId="3EA400A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34BA7EF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596. CONTENIDO DE LA DECLARACIÓN DE RENTA.</w:t>
      </w:r>
      <w:r w:rsidRPr="007A3B40">
        <w:rPr>
          <w:i/>
          <w:iCs/>
          <w:color w:val="000000"/>
        </w:rPr>
        <w:t> &lt;Fuente original compilada: D. 2503/87 Art. 4o.&gt; La declaración del impuesto sobre la renta y complementarios deberá presentarse en el formulario que para tal efecto señale la Dirección General de Impuestos Nacionales</w:t>
      </w:r>
      <w:r w:rsidRPr="007A3B40">
        <w:rPr>
          <w:i/>
          <w:iCs/>
          <w:color w:val="000000"/>
          <w:vertAlign w:val="superscript"/>
        </w:rPr>
        <w:t>&lt;1&gt;</w:t>
      </w:r>
      <w:r w:rsidRPr="007A3B40">
        <w:rPr>
          <w:i/>
          <w:iCs/>
          <w:color w:val="000000"/>
        </w:rPr>
        <w:t>. Esta declaración deberá contener:</w:t>
      </w:r>
    </w:p>
    <w:p w14:paraId="71A63B5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1140A3B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1. El formulario que para el efecto señale la Dirección General de Impuestos Nacionales debidamente diligenciado.</w:t>
      </w:r>
    </w:p>
    <w:p w14:paraId="77D4CAFD"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2. La información necesaria para la identificación y ubicación del contribuyente.</w:t>
      </w:r>
    </w:p>
    <w:p w14:paraId="397C384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3. La discriminación de los factores necesarios para determinar las bases gravables del impuesto sobre la renta y complementarios.</w:t>
      </w:r>
    </w:p>
    <w:p w14:paraId="6D8708A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4. La liquidación privada del impuesto sobre la renta y complementarios, incluidos el anticipo y las sanciones, cuando fuere del caso.</w:t>
      </w:r>
    </w:p>
    <w:p w14:paraId="7062DB5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5. La firma de quien cumpla el deber formal de declarar, o la identificación en el caso de las personas naturales, a través de los medios que establezca el Gobierno Nacional.</w:t>
      </w:r>
    </w:p>
    <w:p w14:paraId="1B862E5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6. La firma del revisor fiscal cuando se trate de contribuyentes obligados a llevar libros de contabilidad y que, de conformidad con el Código de Comercio y demás normas vigentes sobre la materia, estén obligados a tener Revisor Fiscal …”</w:t>
      </w:r>
    </w:p>
    <w:p w14:paraId="05AD8CD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DFFD808"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La extinción de la obligación es el pago que debe hacer el sujeto pasivo de la obligación ante el Fisco Nacional a través del sistema bancario, según lo previsto en el artículo 800 del Estatuto Tributario:</w:t>
      </w:r>
    </w:p>
    <w:p w14:paraId="0B0FAE4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739CDD7C"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800. LUGAR DE PAGO. </w:t>
      </w:r>
      <w:r w:rsidRPr="007A3B40">
        <w:rPr>
          <w:i/>
          <w:iCs/>
          <w:color w:val="000000"/>
        </w:rPr>
        <w:t>El pago de los impuestos, anticipos y retenciones, deberá efectuarse en los lugares que para tal efecto señale el Gobierno Nacional.</w:t>
      </w:r>
    </w:p>
    <w:p w14:paraId="63E9D12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1C09058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lastRenderedPageBreak/>
        <w:t>El Gobierno Nacional podrá recaudar total o parcialmente los impuestos, anticipos, retenciones, sanciones e intereses administrados por la Dirección General de Impuestos Nacionales, a través de bancos y demás entidades financieras”.</w:t>
      </w:r>
    </w:p>
    <w:p w14:paraId="2126EA43"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CF5BF5D"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La retención en la fuente es un mecanismo anticipado del pago del impuesto que, según el artículo 365 del Estatuto Tributario, tiene como finalidad facilitar, acelerar y asegurar el recaudo del impuesto sobre la renta.</w:t>
      </w:r>
    </w:p>
    <w:p w14:paraId="2ABB476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6DADF9A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“Mediante la retención en la fuente un particular, denominado agente de retención, al efectuar un pago o abono en cuenta a un sujeto pasivo del tributo, por un concepto que forma parte constitutiva del hecho gravado, es obligado por la ley a abstenerse de pagar parte de la obligación con el beneficiario, a fin de que esta parte retenida sea entregada al Fisco, como una buena cuenta del sujeto pasivo del tributo … Cuando el sujeto pasivo del tributo hace la presentación de la declaración y liquida privadamente el valor de la obligación, tiene derecho a descontar de la suma a pagar la cuantía de las retenciones en la fuente realizadas … </w:t>
      </w:r>
      <w:r w:rsidRPr="007A3B40">
        <w:rPr>
          <w:color w:val="000000"/>
        </w:rPr>
        <w:t>(Bravo Arteaga, Juan Rafael. “Nociones Fundamentales del Derecho Tributario. Editorial Legis 2000. Bogotá. Página 337 y 338).</w:t>
      </w:r>
    </w:p>
    <w:p w14:paraId="464E6177"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7FDF343"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Además, el artículo 381 del Estatuto Tributario, establece la obligación y los requisitos que debe expedir el agente que ha efectuado la retención.</w:t>
      </w:r>
    </w:p>
    <w:p w14:paraId="746A33C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951E68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381. CERTIFICADOS POR OTROS CONCEPTOS.</w:t>
      </w:r>
      <w:r w:rsidRPr="007A3B40">
        <w:rPr>
          <w:i/>
          <w:iCs/>
          <w:color w:val="000000"/>
        </w:rPr>
        <w:t> &lt;Fuente original compilada: D. 2503/87 Art. 29&gt; Cuando se trate de conceptos de retención diferentes de los originados en la relación laboral, o legal y reglamentaria, los agentes retenedores deberán expedir anualmente un certificado de retenciones que contendrá:</w:t>
      </w:r>
    </w:p>
    <w:p w14:paraId="4604FB7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4830EAB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 Año gravable y ciudad donde se consignó la retención.</w:t>
      </w:r>
    </w:p>
    <w:p w14:paraId="17A83A9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b. Apellidos y nombre o razón social y NIT del retenedor.</w:t>
      </w:r>
    </w:p>
    <w:p w14:paraId="2BDC150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c. Dirección del agente retenedor.</w:t>
      </w:r>
    </w:p>
    <w:p w14:paraId="351FC8D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d. Apellidos y nombre o razón social y NIT de la persona o entidad a quien se le practicó la retención.</w:t>
      </w:r>
    </w:p>
    <w:p w14:paraId="1F69DB3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 Monto total y concepto del pago sujeto a retención.</w:t>
      </w:r>
    </w:p>
    <w:p w14:paraId="3B0CB74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f. Concepto y cuantía de la retención efectuada.</w:t>
      </w:r>
    </w:p>
    <w:p w14:paraId="71DF41B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g. La firma del pagador o agente retenedor.</w:t>
      </w:r>
    </w:p>
    <w:p w14:paraId="1CE98C36"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46B4AF0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 solicitud de la persona o entidad beneficiaria del pago, el retenedor expedirá un certificado por cada retención efectuada, el cual deberá contener las mismas especificaciones del certificado anual.</w:t>
      </w:r>
    </w:p>
    <w:p w14:paraId="1CABC7A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05184F2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lastRenderedPageBreak/>
        <w:t>PARÁGRAFO 1o.</w:t>
      </w:r>
      <w:r w:rsidRPr="007A3B40">
        <w:rPr>
          <w:i/>
          <w:iCs/>
          <w:color w:val="000000"/>
        </w:rPr>
        <w:t> Las personas o entidades sometidas a retención en la fuente podrán sustituir los certificados a que se refiere el presente artículo, cuando estos no hubieren sido expedidos, por el original, copia o fotocopia auténtica de la factura o documento donde conste el pago, siempre y cuando en él aparezcan identificados los conceptos antes señalados.</w:t>
      </w:r>
    </w:p>
    <w:p w14:paraId="10A07491"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76A48E6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PARÁGRAFO 2o.</w:t>
      </w:r>
      <w:r w:rsidRPr="007A3B40">
        <w:rPr>
          <w:i/>
          <w:iCs/>
          <w:color w:val="000000"/>
        </w:rPr>
        <w:t> El Gobierno Nacional podrá eliminar la obligación de expedir el certificado de retenciones a que se refieren este y el artículo anterior, creando mecanismos automáticos de imputación de la retención que lo sustituyan.</w:t>
      </w:r>
    </w:p>
    <w:p w14:paraId="21F7FA4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14A69F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Sobre el pago de sentencias e indemnizaciones para mayor ilustración, se explica lo siguiente:</w:t>
      </w:r>
    </w:p>
    <w:p w14:paraId="5ECFE439"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873411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Sobre los pagos, intereses, exenciones y retenciones sobre rendimientos e intereses, provenientes de sentencias judiciales, este Despacho en Concepto número 046276 del 8 de junio de 2009, dijo:</w:t>
      </w:r>
    </w:p>
    <w:p w14:paraId="2894D5CA"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70DA765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Ahora bien, el artículo 395 del Estatuto Tributario, establece retención en la fuente sobre los pagos o abonos en cuenta que efectúen las personas jurídicas y sociedades de hecho, por concepto de rendimientos financieros, tales como, intereses, descuentos, beneficios, ganancias, utilidades y, </w:t>
      </w:r>
      <w:r w:rsidRPr="007A3B40">
        <w:rPr>
          <w:i/>
          <w:iCs/>
          <w:color w:val="000000"/>
          <w:u w:val="single"/>
        </w:rPr>
        <w:t>en general, lo correspondiente a rendimientos de capital o a diferencias entre valor presente y valor futuro de este, cualesquiera sean las condiciones o nominaciones que se determinen para el efecto.</w:t>
      </w:r>
    </w:p>
    <w:p w14:paraId="07FA6D7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D45B536"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Como se observa, la norma tributaria no señala expresamente los intereses moratorios pagados por el retardo en el cumplimiento de una sentencia judicial, pero si establece la retención en la fuente sobre los pagos o abonos en cuenta que efectúen los agentes retenedores por concepto de intereses, sin hacer distinción alguna al tipo, origen ni naturaleza del interés.</w:t>
      </w:r>
    </w:p>
    <w:p w14:paraId="6645A9B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198BB34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 contrario sensu, es un ingreso propio, realizado durante el respectivo período fiscal en que se percibe, susceptible de capitalizarse, y no figura taxativamente como no gravado.</w:t>
      </w:r>
    </w:p>
    <w:p w14:paraId="1F6AA68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5983782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En reiterados pronunciamientos las Altas Cortes y este despacho, han confirmado que, las exenciones o beneficios tributarios son taxativos y restrictivos, no siendo viable su extensión por vía de interpretación ni por analogía. Aspectos, por los cuales, para el caso en estudio, no le es aplicable el aforismo de que “lo accesorio sigue la suerte de lo principal”, tal y como lo refería el concepto en revisión para un caso específico, en que ambos conceptos eran exentos del impuesto sobre la renta.</w:t>
      </w:r>
    </w:p>
    <w:p w14:paraId="23A5A50C"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4B9834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Cabe anotar que, de acuerdo al artículo 27 del Código Civil, cuando el sentido de la ley es claro, no se desatenderá su tenor literal so pretexto de consultar su espíritu.</w:t>
      </w:r>
    </w:p>
    <w:p w14:paraId="7BEDB39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690FE40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lastRenderedPageBreak/>
        <w:t>En consecuencia, al no estar expresamente señalados como ingresos exentos o no constitutivos de renta ni ganancia ocasional, los intereses de mora generados por el retardo en el pago de sentencias judiciales, cuyos pagos son efectuados por las personas jurídicas o naturales que actúan como agentes de retención en la fuente, están sujetos a retención en la fuente a título de impuesto a la renta y complementario, por concepto de rendimientos financieros, </w:t>
      </w:r>
      <w:r w:rsidRPr="007A3B40">
        <w:rPr>
          <w:i/>
          <w:iCs/>
          <w:color w:val="000000"/>
          <w:u w:val="single"/>
        </w:rPr>
        <w:t xml:space="preserve">siéndoles aplicables la tarifa del 7%. (Art 3o </w:t>
      </w:r>
      <w:proofErr w:type="spellStart"/>
      <w:r w:rsidRPr="007A3B40">
        <w:rPr>
          <w:i/>
          <w:iCs/>
          <w:color w:val="000000"/>
          <w:u w:val="single"/>
        </w:rPr>
        <w:t>Dcto</w:t>
      </w:r>
      <w:proofErr w:type="spellEnd"/>
      <w:r w:rsidRPr="007A3B40">
        <w:rPr>
          <w:i/>
          <w:iCs/>
          <w:color w:val="000000"/>
          <w:u w:val="single"/>
        </w:rPr>
        <w:t xml:space="preserve"> 3715/86).</w:t>
      </w:r>
    </w:p>
    <w:p w14:paraId="21AAB1BD"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C715C0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No obstante, cuando los intereses por el no pago oportuno de sentencias judiciales, corresponda como en el caso inicialmente referido en la Sentencia 11891 de 2001, a ingresos laborales exentos, así como sus intereses, la sanción moratoria también se encuentra exenta.</w:t>
      </w:r>
    </w:p>
    <w:p w14:paraId="13E5480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5E07E35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Las indemnizaciones diferentes de las laborales con ocasión de demandas contra el Estado y contempladas en los artículos 45 y 223 del Estatuto Tributario, cuando los beneficiarios sean residentes en el país, están sometidas a retención en la fuente a la tarifa del 20%. (Art 401-2 E.T.) …”</w:t>
      </w:r>
    </w:p>
    <w:p w14:paraId="6FA97B69"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53F0602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Así mismo, sobre indemnizaciones y retenciones, daño emergente, en el Oficio 021652 del 16 de agosto de 2018, se explicó:</w:t>
      </w:r>
    </w:p>
    <w:p w14:paraId="47A6BA6C"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624AA8C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“En primer lugar, es necesario tener presente que, la definición de indemnización consagrada en el artículo 1613 del Código Civil Colombiano, comprende </w:t>
      </w:r>
      <w:r w:rsidRPr="007A3B40">
        <w:rPr>
          <w:b/>
          <w:bCs/>
          <w:i/>
          <w:iCs/>
          <w:color w:val="000000"/>
        </w:rPr>
        <w:t>el daño emergente y el lucro cesante, </w:t>
      </w:r>
      <w:r w:rsidRPr="007A3B40">
        <w:rPr>
          <w:i/>
          <w:iCs/>
          <w:color w:val="000000"/>
        </w:rPr>
        <w:t>los cuales se encuentra definidos en el artículo subsiguiente de la siguiente manera:</w:t>
      </w:r>
    </w:p>
    <w:p w14:paraId="653A01E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7D6807C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1614. DAÑO EMERGENTE Y LUCRO CESANTE. </w:t>
      </w:r>
      <w:r w:rsidRPr="007A3B40">
        <w:rPr>
          <w:i/>
          <w:iCs/>
          <w:color w:val="000000"/>
        </w:rPr>
        <w:t>Entiéndase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p>
    <w:p w14:paraId="1AFF701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547B82C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Así las cosas, podemos observar que las indemnizaciones tienen como finalidad reparar el deterioro o perjuicio causado a una persona en sus bienes o derechos y tienen una equivalencia pecuniaria determinada o determinable. Los daños patrimoniales causados se clasifican como, “lucro cesante”, beneficio que se deja de percibir o no se podrá percibir por razón de una acción u omisión; y daño emergente, como la pérdida de un bien económico que se encuentra dentro del patrimonio de la persona afectada por dicho acto o (sic) omisión.</w:t>
      </w:r>
    </w:p>
    <w:p w14:paraId="21562D5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0216634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1) Tratamiento tributario de las indemnizaciones en el Impuesto sobre la Renta y Complementarios.</w:t>
      </w:r>
    </w:p>
    <w:p w14:paraId="2FEAB01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59726FB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lastRenderedPageBreak/>
        <w:t>De acuerdo con el artículo 26 del Estatuto Tributario, los ingresos susceptibles de incrementar el patrimonio, están gravados con el impuesto sobre la renta y complementarios, a menos que exista ley especial que los exceptúe. Por lo cual los ingresos por conceptos de indemnizaciones en principio se encuentran gravados con el impuesto sobre la renta y complementarios.</w:t>
      </w:r>
    </w:p>
    <w:p w14:paraId="1635D9D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AF3C73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 Indemnización por daño emergente:</w:t>
      </w:r>
    </w:p>
    <w:p w14:paraId="652E008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30D68DA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Ahora bien, no todos los pagos por concepto de indemnizaciones son susceptibles de constituir renta gravable tal y como lo establece el artículo 17 del Decreto 187 de 1975:</w:t>
      </w:r>
    </w:p>
    <w:p w14:paraId="32047D3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71442FA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17. </w:t>
      </w:r>
      <w:r w:rsidRPr="007A3B40">
        <w:rPr>
          <w:i/>
          <w:iCs/>
          <w:color w:val="000000"/>
        </w:rPr>
        <w:t>Para los efectos del artículo 15 del Decreto 2053 de 1974, se entiende que un ingreso puede producir incremento neto del patrimonio, cuando es susceptible de capitalización aun cuando esta no se haya realizado efectivamente al fin del ejercicio.</w:t>
      </w:r>
    </w:p>
    <w:p w14:paraId="5FE5B60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0A84C43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No son susceptibles de producir incremento neto del patrimonio los ingresos por reembolso de capital o </w:t>
      </w:r>
      <w:r w:rsidRPr="007A3B40">
        <w:rPr>
          <w:b/>
          <w:bCs/>
          <w:i/>
          <w:iCs/>
          <w:color w:val="000000"/>
        </w:rPr>
        <w:t>indemnización por daño emergente.”</w:t>
      </w:r>
    </w:p>
    <w:p w14:paraId="226963FA"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402D456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De igual forma el artículo 45 del Estatuto Tributario establece que la indemnización por seguro de daño, en la parte que corresponde al daño emergente, es un ingreso no constitutivo de renta ni ganancia ocasional.</w:t>
      </w:r>
    </w:p>
    <w:p w14:paraId="23CCB3F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7F202CD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En virtud de lo anterior, podemos concluir que, los ingresos recibidos por concepto de indemnización por daño emergente no son susceptibles de incrementar el patrimonio neto, ya que corresponde a la reparación de un daño o la sustitución de lo perdido por lo tanto no constituye renta gravable. Al no constituir renta gravable, esta renta no podrá ser gravada con el impuesto a la renta y no estará sujeta a retención en la fuente por dicho impuesto.</w:t>
      </w:r>
    </w:p>
    <w:p w14:paraId="106543D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17E791C1"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b) Indemnización por lucro cesante.</w:t>
      </w:r>
    </w:p>
    <w:p w14:paraId="29CF510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1163A6E6"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Teniendo en cuenta la definición de lucro cesante expuesta anteriormente, es posible determinar que los pagos por este concepto dan lugar a un incremento patrimonial para el beneficiario de esta mismas, en tanto que estos tienen la finalidad de cubrir una renta que se ha dejado de percibir o se dejará de percibir por el daño o perjuicio causado. Al ser un ingreso susceptible de incrementar el patrimonio neto del contribuyente, este será considerado como ingreso gravable en los términos del artículo 26 y estará sujeto a retención en la fuente por Impuesto sobre la Renta y Complementarios. La tarifa de retención aplicable dependerá de la naturaleza del pago y de las calidades de quien reciba dicha indemnización.</w:t>
      </w:r>
    </w:p>
    <w:p w14:paraId="370691F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121B2E8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c) Consideraciones aplicables a la retención en la fuente a las indemnizaciones:</w:t>
      </w:r>
    </w:p>
    <w:p w14:paraId="37D439B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63B82C4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lastRenderedPageBreak/>
        <w:t>En primer lugar, el artículo 401-2 del Estatuto Tributario establece la retención en la fuente en indemnizaciones de manera general. La norma dispone que</w:t>
      </w:r>
    </w:p>
    <w:p w14:paraId="2B877C1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07B0E94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“Los pagos o abonos en cuenta por concepto de indemnizaciones diferentes a las indemnizaciones salariales y a las percibidas por los nacionales como resultado de demandas contra el Estado y contempladas en los artículos 45 y 223 del Estatuto Tributario, estará sometida a retención por concepto de renta a la tarifa del 33%, si los beneficiarios de la misma son extranjeros sin residencia en el país. Si los beneficiarios del pago son residentes en el país, la tarifa de retención por este concepto será del veinte por ciento (20%).”</w:t>
      </w:r>
    </w:p>
    <w:p w14:paraId="28F14D76"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4C35827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Esta disposición pretende determinar la retención en la fuente en indemnizaciones diferentes a las salariales que perciban los nacionales, como resultado de demandas contra el Estado y las establecidas en los artículos 45 y 223 del Estatuto Tributario. En consecuencia, la retención en la fuente en indemnizaciones solamente puede aplicarse a pagos o abonos en cuenta que correspondan al lucro cesante y su tarifa dependerá de la naturaleza de dichos pagos o abonos en cuenta y de las calidades de quien recibe el pago.</w:t>
      </w:r>
    </w:p>
    <w:p w14:paraId="3BDA8D2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4A6527E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Lo anterior es confirmado por la Sentencia C-913 de 2003 la cual precisa una distinción entre el lucro cesante y el daño emergente, señalando lo siguiente:</w:t>
      </w:r>
    </w:p>
    <w:p w14:paraId="25B84E2A"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A9B7029"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“Es lógico que el lucro cesante esté sometido a retención en la fuente, porque corresponde a un ingreso constitutivo de la ganancia o provecho que debió recibirse en su oportunidad y, por tanto, sujeto al impuesto sobre la renta. (…) En cambio, el daño emergente, por no constituir una ganancia o provecho, nunca ha estado gravado, pues según se señaló, no es susceptible de producir un incremento en el patrimonio ya que corresponde a la reparación de un daño o a la sustitución de lo perdido.</w:t>
      </w:r>
    </w:p>
    <w:p w14:paraId="282A92A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0448447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La norma acusada somete a retención en la fuente los pagos o abonos en cuenta por indemnizaciones, sin importar si estas provienen del Estado o de particulares, para lo cual fija una tarifa diferencial que será del 20% si los beneficiarios son residentes en el país y del 35% si se trata de extranjeros no residentes.”</w:t>
      </w:r>
    </w:p>
    <w:p w14:paraId="63776D7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7B0093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Con fundamento en esta presentación inicial, pasamos a resolver cada una de las preguntas formuladas:</w:t>
      </w:r>
    </w:p>
    <w:p w14:paraId="375F1EC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572DC723"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 xml:space="preserve">1. ¿Se informe la normatividad, los impuestos, gravámenes, retenciones y en general que clase de tributaciones de ley se deben pagar en aquellos procesos que mediante sentencia judicial y auto que aprueba </w:t>
      </w:r>
      <w:r w:rsidRPr="007A3B40">
        <w:rPr>
          <w:i/>
          <w:iCs/>
          <w:color w:val="000000"/>
          <w:sz w:val="32"/>
          <w:szCs w:val="32"/>
          <w:highlight w:val="green"/>
        </w:rPr>
        <w:lastRenderedPageBreak/>
        <w:t>parcialmente la conciliación, es reconocida una obligación pecuniaria o una cantidad líquida de dinero más unos intereses causados, como indemnización?</w:t>
      </w:r>
    </w:p>
    <w:p w14:paraId="123D5EB0"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color w:val="555555"/>
          <w:sz w:val="32"/>
          <w:szCs w:val="32"/>
        </w:rPr>
        <w:t> </w:t>
      </w:r>
    </w:p>
    <w:p w14:paraId="576638A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Respuesta. Las normas, a manera enunciativa son los artículos 26, 596, 800 del estatuto Tributario. La retención en la fuente está regulada en los artículos 365 y siguientes del Estatuto Tributario, según se ha explicado en la parte inicial de esta respuesta. El impuesto que corresponde a la naturaleza de las sentencias de reparación directa es el Impuesto de Renta.</w:t>
      </w:r>
    </w:p>
    <w:p w14:paraId="0798AA7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06D0C033"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Por consiguiente, quien percibe el ingreso susceptible de producir un incremento neto en su patrimonio tiene la obligación legal y tributaria de declararlo en la forma y condiciones establecidas por el Gobierno Nacional. Los pagos, y los pagos por dichas sentencias están sujetos al mecanismo de retención en la fuente, el cual constituye una forma de recaudo anticipado por el impuesto correspondiente por el ingreso gravado.</w:t>
      </w:r>
    </w:p>
    <w:p w14:paraId="116A08A5"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2BDA6A8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Sobre los ingresos provenientes de sentencias judiciales, en la parte superior de esta respuesta se han transcrito los conceptos tributarios que ilustran el tema.</w:t>
      </w:r>
    </w:p>
    <w:p w14:paraId="75365712"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0B7420E"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2. ¿En qué momento período de tiempo se deben pagar a la DIAN, o por otras entidades, impuestos, gravámenes, retenciones, teniendo en cuanta (sic) que no se ha realizado el pago?</w:t>
      </w:r>
    </w:p>
    <w:p w14:paraId="516DD7F2"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E0235F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El artículo 26 del Estatuto Tributario establece que, el impuesto de renta se causa </w:t>
      </w:r>
      <w:r w:rsidRPr="007A3B40">
        <w:rPr>
          <w:i/>
          <w:iCs/>
          <w:color w:val="000000"/>
        </w:rPr>
        <w:t>“de la suma de todos los ingresos ordinarios y extraordinarios realizados en el año o período gravable, que sean susceptibles de producir un incremento neto del patrimonio en </w:t>
      </w:r>
      <w:r w:rsidRPr="007A3B40">
        <w:rPr>
          <w:i/>
          <w:iCs/>
          <w:color w:val="000000"/>
          <w:u w:val="single"/>
        </w:rPr>
        <w:t>el momento de su percepción</w:t>
      </w:r>
      <w:r w:rsidRPr="007A3B40">
        <w:rPr>
          <w:i/>
          <w:iCs/>
          <w:color w:val="000000"/>
        </w:rPr>
        <w:t>”.</w:t>
      </w:r>
    </w:p>
    <w:p w14:paraId="35DDBA92"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164B4B88"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Además, como el impuesto de renta es un impuesto de período deberá declararse y pagar, conforme al calendario anual que fija el Gobierno Nacional, según lo dispone el artículo 596 del estatuto Tributario.</w:t>
      </w:r>
    </w:p>
    <w:p w14:paraId="619D67B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EA19480"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Con respecto a otros impuestos, que no son competencia de la DIAN, no es posible para este Despacho pronunciarse, en el entendido que no tenemos las facultades necesarias para hacerlo.</w:t>
      </w:r>
    </w:p>
    <w:p w14:paraId="47CAE058"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D0D74E6"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3. ¿De qué forma deben pagar, esta clase de impuestos y señalar la normatividad?</w:t>
      </w:r>
    </w:p>
    <w:p w14:paraId="184A68B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9A0AB37"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lastRenderedPageBreak/>
        <w:t>Como el impuesto de renta es un impuesto de período deberá declararse y pagar, conforme al calendario anual que fija el Gobierno Nacional, según lo dispone el artículo 596 del estatuto Tributario.</w:t>
      </w:r>
    </w:p>
    <w:p w14:paraId="23D562A8"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C367C4E"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Para su pago, podrá descontarse la retención en la fuente que se le haya realizado en el momento de la percepción por parte del pagador, conforme al artículo 365 del estatuto tributario.</w:t>
      </w:r>
    </w:p>
    <w:p w14:paraId="614B9BC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2CA4A452"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Además, el artículo 381 del Estatuto Tributar (Sic) contempla el certificado de retención en la fuente que debe expedir el agente retenedor a quien se le efectuó la retención.</w:t>
      </w:r>
    </w:p>
    <w:p w14:paraId="4340B50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246CD1B0"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4. ¿Se explique quien es la persona que debe declarar el impuesto a las retenciones?</w:t>
      </w:r>
    </w:p>
    <w:p w14:paraId="7DB51D1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282AA2A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Debe presentar la declaración privada del Impuestos sobre la Renta, la persona en quien se dan las condiciones para que surja respecto de esta el hecho imponible, esto es percibir los ingresos según el artículo 26 del Estatuó (Sic) Tributario. Las retenciones efectuadas las debe declarar y pagar el agente retenedor, quien expedirá el certificado anual, según las condiciones tratadas en el artículo 381 del Estatuto Tributario. Estas retenciones podrán ser acreditadas por parte del declarante de renta, al cual se le practicaron las retenciones con el objetivo de disminuir el impuesto a cargo.</w:t>
      </w:r>
    </w:p>
    <w:p w14:paraId="06AE8E4E"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195EB33"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6"/>
          <w:szCs w:val="36"/>
          <w:highlight w:val="green"/>
        </w:rPr>
      </w:pPr>
      <w:r w:rsidRPr="007A3B40">
        <w:rPr>
          <w:i/>
          <w:iCs/>
          <w:color w:val="000000"/>
          <w:sz w:val="36"/>
          <w:szCs w:val="36"/>
          <w:highlight w:val="green"/>
        </w:rPr>
        <w:t>5. ¿Qué clase de gravámenes y porcentaje se deben pagar sobre </w:t>
      </w:r>
      <w:r w:rsidRPr="007A3B40">
        <w:rPr>
          <w:b/>
          <w:bCs/>
          <w:i/>
          <w:iCs/>
          <w:color w:val="000000"/>
          <w:sz w:val="36"/>
          <w:szCs w:val="36"/>
          <w:highlight w:val="green"/>
        </w:rPr>
        <w:t>perjuicios morales, </w:t>
      </w:r>
      <w:r w:rsidRPr="007A3B40">
        <w:rPr>
          <w:i/>
          <w:iCs/>
          <w:color w:val="000000"/>
          <w:sz w:val="36"/>
          <w:szCs w:val="36"/>
          <w:highlight w:val="green"/>
        </w:rPr>
        <w:t>reconocidos como indemnización a través del proceso de reparación directa?</w:t>
      </w:r>
    </w:p>
    <w:p w14:paraId="1F6CEB75"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6"/>
          <w:szCs w:val="36"/>
          <w:highlight w:val="green"/>
        </w:rPr>
      </w:pPr>
      <w:r w:rsidRPr="007A3B40">
        <w:rPr>
          <w:color w:val="555555"/>
          <w:sz w:val="36"/>
          <w:szCs w:val="36"/>
          <w:highlight w:val="green"/>
        </w:rPr>
        <w:t> </w:t>
      </w:r>
    </w:p>
    <w:p w14:paraId="30919895"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6"/>
          <w:szCs w:val="36"/>
          <w:highlight w:val="green"/>
        </w:rPr>
      </w:pPr>
      <w:r w:rsidRPr="007A3B40">
        <w:rPr>
          <w:color w:val="000000"/>
          <w:sz w:val="36"/>
          <w:szCs w:val="36"/>
          <w:highlight w:val="green"/>
        </w:rPr>
        <w:t>En el Oficio 052670 de agosto 17 de 2012 agosto 17, (sic) se trajo a colación lo siguiente:</w:t>
      </w:r>
    </w:p>
    <w:p w14:paraId="5C9764F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370A4E7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t>“En el mismo sentido, el Oficio 012420 de febrero 10 de 2006, manifestó:</w:t>
      </w:r>
    </w:p>
    <w:p w14:paraId="2170540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6D53E6C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b/>
          <w:bCs/>
          <w:i/>
          <w:iCs/>
          <w:color w:val="000000"/>
          <w:sz w:val="36"/>
          <w:szCs w:val="36"/>
          <w:highlight w:val="green"/>
        </w:rPr>
        <w:t>“… Retención en la fuente en el pago de sentencias</w:t>
      </w:r>
    </w:p>
    <w:p w14:paraId="46CA665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5DC615F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lastRenderedPageBreak/>
        <w:t>Finalmente, con respecto a la retención en la fuente aplicable al pago de una sentencia por responsabilidad extracontractual del Estado por reconocimiento de </w:t>
      </w:r>
      <w:r w:rsidRPr="007A3B40">
        <w:rPr>
          <w:b/>
          <w:bCs/>
          <w:i/>
          <w:iCs/>
          <w:color w:val="000000"/>
          <w:sz w:val="36"/>
          <w:szCs w:val="36"/>
          <w:highlight w:val="green"/>
        </w:rPr>
        <w:t>perjuicios morales, </w:t>
      </w:r>
      <w:r w:rsidRPr="007A3B40">
        <w:rPr>
          <w:i/>
          <w:iCs/>
          <w:color w:val="000000"/>
          <w:sz w:val="36"/>
          <w:szCs w:val="36"/>
          <w:highlight w:val="green"/>
        </w:rPr>
        <w:t>en el Oficio Nro. 003481 se manifestó:</w:t>
      </w:r>
    </w:p>
    <w:p w14:paraId="13457B33"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6B941E8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t>“En el Concepto No. 49245 de 1994 este Despacho precisó sobre el tema de las indemnizaciones: “Se comprende además lo relativo al cálculo de la vida probable de una persona y los perjuicios morales, estos admitidos jurisprudencialmente. En estos últimos perjuicios existe una equitativa satisfacción por el daño sufrido, que por ser moral es inconmensurable, pues el dolor moral no tiene precio. En el caso de la muerte de un hijo ese dolor no necesita prueba especial, sino se presume.</w:t>
      </w:r>
    </w:p>
    <w:p w14:paraId="2C641A6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t>(…)</w:t>
      </w:r>
    </w:p>
    <w:p w14:paraId="1756AB5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t>Más adelante señala: “Basta tener en cuenta la naturaleza de la reparación, los perjuicios que cubre, para asimilarlos a ingresos constitutivos de daño emergente. Así por ejemplo la reparación de perjuicios morales y los materiales relativos a la crianza, educación, manutención etc. será por su naturaleza </w:t>
      </w:r>
      <w:r w:rsidRPr="007A3B40">
        <w:rPr>
          <w:i/>
          <w:iCs/>
          <w:color w:val="000000"/>
          <w:sz w:val="36"/>
          <w:szCs w:val="36"/>
          <w:highlight w:val="green"/>
          <w:u w:val="single"/>
        </w:rPr>
        <w:t>asimilable a indemnización por daño emergente, no sujeto a gravamen</w:t>
      </w:r>
      <w:r w:rsidRPr="007A3B40">
        <w:rPr>
          <w:i/>
          <w:iCs/>
          <w:color w:val="000000"/>
          <w:sz w:val="36"/>
          <w:szCs w:val="36"/>
          <w:highlight w:val="green"/>
        </w:rPr>
        <w:t> (…).”</w:t>
      </w:r>
    </w:p>
    <w:p w14:paraId="72F78649"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6"/>
          <w:szCs w:val="36"/>
          <w:highlight w:val="green"/>
        </w:rPr>
      </w:pPr>
      <w:r w:rsidRPr="007A3B40">
        <w:rPr>
          <w:color w:val="555555"/>
          <w:sz w:val="36"/>
          <w:szCs w:val="36"/>
          <w:highlight w:val="green"/>
        </w:rPr>
        <w:t> </w:t>
      </w:r>
    </w:p>
    <w:p w14:paraId="1CE79762"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6"/>
          <w:szCs w:val="36"/>
          <w:highlight w:val="green"/>
        </w:rPr>
      </w:pPr>
      <w:r w:rsidRPr="007A3B40">
        <w:rPr>
          <w:color w:val="000000"/>
          <w:sz w:val="36"/>
          <w:szCs w:val="36"/>
          <w:highlight w:val="green"/>
        </w:rPr>
        <w:t>De igual forma en el Oficio 09707 de marzo 31 de 2017, se explicó lo siguiente:</w:t>
      </w:r>
    </w:p>
    <w:p w14:paraId="7BA73DA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59F417B6"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lastRenderedPageBreak/>
        <w:t>“En atención a su consulta, relacionada con el pago de sentencias por el concepto de perjuicios morales ocasionados a personas por la falla en el servicio, este despacho ha precisado que dichos pagos no se encuentran sujetos a retención en la fuente, mediante el Concepto Nro. 099941 de diciembre 28 de 1998. y los Oficios 049245 de agosto 11 de 1994, 003481 de agosto 13 de 1999 y 052250 de agosto 21 de 2013, de los cuales por corresponder a doctrina vigente remitimos copia para su conocimiento y aplicación al caso en concreto.</w:t>
      </w:r>
    </w:p>
    <w:p w14:paraId="043E933D"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6FA330C6"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t>Respecto a las costas del proceso, el Concepto 057424 de julio 21 de 1998, precisa que con las agencias en derecho y demás costas procesales que se reconocen por parte del juez a favor del vencedor en un proceso, lo que existe es un resarcimiento de la disminución patrimonial por el ejercicio de la acción procesal, no constituyendo un ingreso susceptible de producir un incremento del patrimonio en el momento de su percepción.</w:t>
      </w:r>
    </w:p>
    <w:p w14:paraId="6292FCC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3BF98C2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i/>
          <w:iCs/>
          <w:color w:val="000000"/>
          <w:sz w:val="36"/>
          <w:szCs w:val="36"/>
          <w:highlight w:val="green"/>
        </w:rPr>
        <w:t>En consecuencia, no genera el impuesto sobre la renta y complementario, ni tampoco hay lugar a la retención en la fuente.</w:t>
      </w:r>
    </w:p>
    <w:p w14:paraId="6F82B72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highlight w:val="green"/>
        </w:rPr>
      </w:pPr>
      <w:r w:rsidRPr="007A3B40">
        <w:rPr>
          <w:color w:val="555555"/>
          <w:sz w:val="36"/>
          <w:szCs w:val="36"/>
          <w:highlight w:val="green"/>
        </w:rPr>
        <w:t> </w:t>
      </w:r>
    </w:p>
    <w:p w14:paraId="04B8CD6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sz w:val="36"/>
          <w:szCs w:val="36"/>
        </w:rPr>
      </w:pPr>
      <w:r w:rsidRPr="007A3B40">
        <w:rPr>
          <w:i/>
          <w:iCs/>
          <w:color w:val="000000"/>
          <w:sz w:val="36"/>
          <w:szCs w:val="36"/>
          <w:highlight w:val="green"/>
        </w:rPr>
        <w:t xml:space="preserve">Finalmente, hay que diferenciar las costas del proceso y agencias en derecho, de la retribución que por orden judicial deben pagar las personas jurídicas o sociedades de hecho a los peritos, evaluadores, curadores, </w:t>
      </w:r>
      <w:proofErr w:type="spellStart"/>
      <w:r w:rsidRPr="007A3B40">
        <w:rPr>
          <w:i/>
          <w:iCs/>
          <w:color w:val="000000"/>
          <w:sz w:val="36"/>
          <w:szCs w:val="36"/>
          <w:highlight w:val="green"/>
        </w:rPr>
        <w:t>etc</w:t>
      </w:r>
      <w:proofErr w:type="spellEnd"/>
      <w:r w:rsidRPr="007A3B40">
        <w:rPr>
          <w:i/>
          <w:iCs/>
          <w:color w:val="000000"/>
          <w:sz w:val="36"/>
          <w:szCs w:val="36"/>
          <w:highlight w:val="green"/>
        </w:rPr>
        <w:t xml:space="preserve">, pagos que están sujetos a </w:t>
      </w:r>
      <w:r w:rsidRPr="007A3B40">
        <w:rPr>
          <w:i/>
          <w:iCs/>
          <w:color w:val="000000"/>
          <w:sz w:val="36"/>
          <w:szCs w:val="36"/>
          <w:highlight w:val="green"/>
        </w:rPr>
        <w:lastRenderedPageBreak/>
        <w:t>retención en la fuente por concepto de honorarios a la tarifa del 10% (Decreto 408 de 1995, artículo 6º y demás normas modificatorias), caso en el cual quienes realizan el pago a estos deberán actuar como agentes retenedores.</w:t>
      </w:r>
    </w:p>
    <w:p w14:paraId="40AC9C7E"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38FC70D4"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6. ¿Qué clase de gravámenes y qué porcentaje se debe pagar por concepto de </w:t>
      </w:r>
      <w:r w:rsidRPr="007A3B40">
        <w:rPr>
          <w:b/>
          <w:bCs/>
          <w:i/>
          <w:iCs/>
          <w:color w:val="000000"/>
          <w:sz w:val="32"/>
          <w:szCs w:val="32"/>
          <w:highlight w:val="green"/>
        </w:rPr>
        <w:t>lucro cesante </w:t>
      </w:r>
      <w:r w:rsidRPr="007A3B40">
        <w:rPr>
          <w:i/>
          <w:iCs/>
          <w:color w:val="000000"/>
          <w:sz w:val="32"/>
          <w:szCs w:val="32"/>
          <w:highlight w:val="green"/>
        </w:rPr>
        <w:t>reconocido como indemnización a través de un proceso de reparación directa?</w:t>
      </w:r>
    </w:p>
    <w:p w14:paraId="478153CD"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778B0B2"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Como en el punto anterior, además de los (sic) expresado anteriormente, se sugiere revisar los conceptos números 046276 del 8 de junio de 2009, 021652 de agosto 16 de 2018, teniendo presente que para la fecha de los pagos puede haber variado las tarifas de retención en la fuente.</w:t>
      </w:r>
    </w:p>
    <w:p w14:paraId="7C1F729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5D7C8B42"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7. ¿Qué clase de gravámenes y que porcentaje se debe pagar por concepto de </w:t>
      </w:r>
      <w:r w:rsidRPr="007A3B40">
        <w:rPr>
          <w:b/>
          <w:bCs/>
          <w:i/>
          <w:iCs/>
          <w:color w:val="000000"/>
          <w:sz w:val="32"/>
          <w:szCs w:val="32"/>
          <w:highlight w:val="green"/>
        </w:rPr>
        <w:t>daño emergente </w:t>
      </w:r>
      <w:r w:rsidRPr="007A3B40">
        <w:rPr>
          <w:i/>
          <w:iCs/>
          <w:color w:val="000000"/>
          <w:sz w:val="32"/>
          <w:szCs w:val="32"/>
          <w:highlight w:val="green"/>
        </w:rPr>
        <w:t>reconocido como indemnización?</w:t>
      </w:r>
    </w:p>
    <w:p w14:paraId="0DF752F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437C95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Como en el punto anterior, además de los (sic) expresado anteriormente, se sugiere revisar los conceptos números 046276 del 8 de junio de 2009, 021652 de agosto 16 de 2018, teniendo presente que para la fecha de los pagos puede haber variado las tarifas de retención en la fuente.</w:t>
      </w:r>
    </w:p>
    <w:p w14:paraId="4B33099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00046FB5"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8. ¿Qué clase de gravámenes y que porcentaje se debe pagar por concepto de </w:t>
      </w:r>
      <w:r w:rsidRPr="007A3B40">
        <w:rPr>
          <w:b/>
          <w:bCs/>
          <w:i/>
          <w:iCs/>
          <w:color w:val="000000"/>
          <w:sz w:val="32"/>
          <w:szCs w:val="32"/>
          <w:highlight w:val="green"/>
        </w:rPr>
        <w:t>alteración grave </w:t>
      </w:r>
      <w:r w:rsidRPr="007A3B40">
        <w:rPr>
          <w:i/>
          <w:iCs/>
          <w:color w:val="000000"/>
          <w:sz w:val="32"/>
          <w:szCs w:val="32"/>
          <w:highlight w:val="green"/>
        </w:rPr>
        <w:t>de las condiciones de existencia, reconocido como indemnización a través de un proceso de reparación directa?</w:t>
      </w:r>
    </w:p>
    <w:p w14:paraId="453E118D"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9341AC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Como en el punto anterior, además de los (sic) expresado anteriormente, se sugiere revisar los conceptos números 046276 del 8 de junio de 2009, 021652 de agosto 16 de 2018, teniendo presente que para la fecha de los pagos puede haber variado las tarifas de retención en la fuente.</w:t>
      </w:r>
    </w:p>
    <w:p w14:paraId="5EF5043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8B06303"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En suma, de las preguntas 5, 6, 7 y 8, antes citadas, se le aclara al consultante que el Estatuto Tributario no establece norma específica para cada una de las fórmulas que se dan frente a una indemnización derivada de una sentencia judicial, debiendo los responsables adecuarlas al contenido del artículo 26 del estatuto tributaria, (sic) tantas veces citado.</w:t>
      </w:r>
    </w:p>
    <w:p w14:paraId="21D3558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38554E4"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lastRenderedPageBreak/>
        <w:t>9. ¿Los impuestos (IVA) del régimen común, generados sobre el 35% correspondientes a los honorarios de abogado, a quien corresponde pagarlos, es decir al abogado de un proceso de reparación o a todas partes de reparación dentro del proceso?</w:t>
      </w:r>
    </w:p>
    <w:p w14:paraId="6D168CC9"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1523F2A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El IVA se genera, y por tanto nace la obligación de cobrarlo, cuando se vende un producto que está gravado con el IVA o se presta un servicio que está gravado. Es decir, lo paga el consumidor y lo debe cobrar quien presta el servicio.</w:t>
      </w:r>
    </w:p>
    <w:p w14:paraId="1F21DA33"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0BC99F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Sobre el particular, en primer lugar, el artículo 1º., del Estatuto Tributario (ET), establece: </w:t>
      </w:r>
      <w:r w:rsidRPr="007A3B40">
        <w:rPr>
          <w:i/>
          <w:iCs/>
          <w:color w:val="000000"/>
        </w:rPr>
        <w:t>“la obligación tributaria sustancial se origina al realizarse el presupuesto o los presupuestos previstos en la ley como generadores del impuesto y ella tiene por objeto el pago del tributo”; </w:t>
      </w:r>
      <w:r w:rsidRPr="007A3B40">
        <w:rPr>
          <w:color w:val="000000"/>
        </w:rPr>
        <w:t>por lo anterior, el tributo referido al impuesto sobre las ventas, consagra como hechos generadores en el artículo 420 del ET., los siguientes:</w:t>
      </w:r>
    </w:p>
    <w:p w14:paraId="0E6B5E7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4814BF7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w:t>
      </w:r>
    </w:p>
    <w:p w14:paraId="5F0150A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 La venta de bienes corporales muebles e inmuebles, con excepción de los expresamente excluidos.</w:t>
      </w:r>
    </w:p>
    <w:p w14:paraId="5080FC0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b) La venta o cesiones de derechos sobre activos intangibles, únicamente asociados con la propiedad industrial.</w:t>
      </w:r>
    </w:p>
    <w:p w14:paraId="7F506F34"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c) </w:t>
      </w:r>
      <w:r w:rsidRPr="007A3B40">
        <w:rPr>
          <w:b/>
          <w:bCs/>
          <w:i/>
          <w:iCs/>
          <w:color w:val="000000"/>
          <w:u w:val="single"/>
        </w:rPr>
        <w:t>La prestación de servicios en el territorio nacional, o desde el exterior, con excepción de los expresamente excluidos.</w:t>
      </w:r>
    </w:p>
    <w:p w14:paraId="4BC70A9C"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d) La importación de bienes corporales que no hayan sido excluidos expresamente.</w:t>
      </w:r>
    </w:p>
    <w:p w14:paraId="2DEEF21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 La circulación, venta u operación de juegos de suerte y azar, con excepción de las loterías y de los juegos de suerte y azar, operados exclusivamente por internet …” </w:t>
      </w:r>
      <w:r w:rsidRPr="007A3B40">
        <w:rPr>
          <w:color w:val="000000"/>
        </w:rPr>
        <w:t>(Negrillas fuera de texto).</w:t>
      </w:r>
    </w:p>
    <w:p w14:paraId="42CA3A04"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320873D"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Ahora, con el fin de dar mayor claridad al asunto, es necesario abordar el concepto de servicio en materia de IVA, entendiéndose este como: </w:t>
      </w:r>
      <w:r w:rsidRPr="007A3B40">
        <w:rPr>
          <w:i/>
          <w:iCs/>
          <w:color w:val="000000"/>
        </w:rPr>
        <w:t>“toda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 </w:t>
      </w:r>
      <w:r w:rsidRPr="007A3B40">
        <w:rPr>
          <w:color w:val="000000"/>
        </w:rPr>
        <w:t>(Art. 1 Decreto 1372 de 1992. Compilado en el artículo 1.3.1.2.1 del Decreto Único Reglamentario 1625 de 2016).</w:t>
      </w:r>
    </w:p>
    <w:p w14:paraId="71F11C8E"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9E154E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El artículo 437 del Estatuto Tributario considera que, </w:t>
      </w:r>
      <w:r w:rsidRPr="007A3B40">
        <w:rPr>
          <w:i/>
          <w:iCs/>
          <w:color w:val="000000"/>
        </w:rPr>
        <w:t>“Quienes presten servicios”, </w:t>
      </w:r>
      <w:r w:rsidRPr="007A3B40">
        <w:rPr>
          <w:color w:val="000000"/>
        </w:rPr>
        <w:t>son responsables el Impuesto sobre las Ventas.</w:t>
      </w:r>
    </w:p>
    <w:p w14:paraId="64839369"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26BB0D65"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lastRenderedPageBreak/>
        <w:t>Según el artículo 601 del Estatuto Tributario, deberán presentar declaración y pago del Impuesto sobre las Ventas, los responsables.</w:t>
      </w:r>
    </w:p>
    <w:p w14:paraId="70FDA4E5"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DABD0C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Según el Concepto DIAN 001 de 2003, al referirse al responsable del impuesto sobre las ventas dice:</w:t>
      </w:r>
    </w:p>
    <w:p w14:paraId="5375A8ED"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63DE7A3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 el sujeto a quien la ley le ha otorgado la facultad de recaudar (cobrar) el impuesto del consumidor final. En virtud de lo cual debe responder frente a la administración por su consignación y cumplir con las demás obligaciones inherentes a su calidad.”</w:t>
      </w:r>
    </w:p>
    <w:p w14:paraId="690476C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6B4EDEAE"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10. ¿Se aclare si debemos pagar los siguientes impuestos manifestados por nuestro apoderado?</w:t>
      </w:r>
    </w:p>
    <w:p w14:paraId="4BC1A03D"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5E2D14B5"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De manera se le informa que, la tarifa general de retención en la fuente se explicó lo siguiente:</w:t>
      </w:r>
    </w:p>
    <w:p w14:paraId="028047B6"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0E4BD06F"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 xml:space="preserve">“[… los intereses de mora generados por el retardo en el pago de sentencias judiciales, cuyos pagos son efectuados por las personas jurídicas o naturales que actúan como agentes de retención en la fuente, están sujetos a retención en la fuente a título de impuesto a la renta y complementario, por concepto de rendimientos financieros, siéndoles aplicables la tarifa del 7%. (Art 3o </w:t>
      </w:r>
      <w:proofErr w:type="spellStart"/>
      <w:r w:rsidRPr="007A3B40">
        <w:rPr>
          <w:i/>
          <w:iCs/>
          <w:color w:val="000000"/>
        </w:rPr>
        <w:t>Dcto</w:t>
      </w:r>
      <w:proofErr w:type="spellEnd"/>
      <w:r w:rsidRPr="007A3B40">
        <w:rPr>
          <w:i/>
          <w:iCs/>
          <w:color w:val="000000"/>
        </w:rPr>
        <w:t xml:space="preserve"> 3715/86).</w:t>
      </w:r>
    </w:p>
    <w:p w14:paraId="0D87F87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345391F2"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Así mismo, el artículo 1.2.4.2.32 del Decreto 1625 de 2016, establece:</w:t>
      </w:r>
    </w:p>
    <w:p w14:paraId="0512CAE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3CFEDF8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1.2.4.2.32. Tarifa de retención en la fuente sobre intereses.</w:t>
      </w:r>
      <w:r w:rsidRPr="007A3B40">
        <w:rPr>
          <w:i/>
          <w:iCs/>
          <w:color w:val="000000"/>
        </w:rPr>
        <w:t> El rendimiento financiero por concepto de interese está sometido a la tarifa de retención en la fuente del siete por ciento (7%) (hoy cuatro por ciento (4%) de la respectiva causación, pago o abono en cuenta”.</w:t>
      </w:r>
    </w:p>
    <w:p w14:paraId="18D20F31"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(Art. 24, </w:t>
      </w:r>
      <w:r w:rsidRPr="007A3B40">
        <w:rPr>
          <w:i/>
          <w:iCs/>
          <w:color w:val="000000"/>
          <w:u w:val="single"/>
        </w:rPr>
        <w:t>Decreto 700 de 1997</w:t>
      </w:r>
      <w:r w:rsidRPr="007A3B40">
        <w:rPr>
          <w:i/>
          <w:iCs/>
          <w:color w:val="000000"/>
        </w:rPr>
        <w:t>. Ajustada la tarifa por el Art. 3 del </w:t>
      </w:r>
      <w:r w:rsidRPr="007A3B40">
        <w:rPr>
          <w:i/>
          <w:iCs/>
          <w:color w:val="000000"/>
          <w:u w:val="single"/>
        </w:rPr>
        <w:t>Decreto 2418 de 2013</w:t>
      </w:r>
      <w:r w:rsidRPr="007A3B40">
        <w:rPr>
          <w:i/>
          <w:iCs/>
          <w:color w:val="000000"/>
        </w:rPr>
        <w:t>) (El </w:t>
      </w:r>
      <w:r w:rsidRPr="007A3B40">
        <w:rPr>
          <w:i/>
          <w:iCs/>
          <w:color w:val="000000"/>
          <w:u w:val="single"/>
        </w:rPr>
        <w:t>Decreto 700 de 1997</w:t>
      </w:r>
      <w:r w:rsidRPr="007A3B40">
        <w:rPr>
          <w:i/>
          <w:iCs/>
          <w:color w:val="000000"/>
        </w:rPr>
        <w:t> rige a partir del 1º de abril de 1997 y deroga los Decretos 1960 y 2360 de 1996, y las demás disposiciones que le sean contrarias. Art. 45, </w:t>
      </w:r>
      <w:r w:rsidRPr="007A3B40">
        <w:rPr>
          <w:i/>
          <w:iCs/>
          <w:color w:val="000000"/>
          <w:u w:val="single"/>
        </w:rPr>
        <w:t>Decreto 700 de 1997</w:t>
      </w:r>
      <w:r w:rsidRPr="007A3B40">
        <w:rPr>
          <w:i/>
          <w:iCs/>
          <w:color w:val="000000"/>
        </w:rPr>
        <w:t>).</w:t>
      </w:r>
    </w:p>
    <w:p w14:paraId="4D9D99C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32212C0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Ahora, según el Concepto 071901 de noviembre 6 de 2003, los pagos que se efectúen a nacionales colombianos por indemnizaciones provenientes de demandas en contra del estado están sometidos a retención en la fuente por el concepto de otros ingresos tributarios:</w:t>
      </w:r>
    </w:p>
    <w:p w14:paraId="3DA1EB7E"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07D42568"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“El artículo 91 de la Ley 788 de 2002 adicionó al Estatuto Tributario el artículo 401-2 y estableció tarifas especiales de retención en la fuente a título del impuesto de renta y complementarios sobre los pagos o abonos en cuenta por concepto de indemnizaciones diferentes a las salariales, a las percibidas por los nacionales como resultado de demandas contra el Estado y a las contempladas en los artículos 45 y 223 del Estatuto Tributario.</w:t>
      </w:r>
    </w:p>
    <w:p w14:paraId="70ABB815"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lastRenderedPageBreak/>
        <w:t> </w:t>
      </w:r>
    </w:p>
    <w:p w14:paraId="06C1EB6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Al establecer dicha norma unas tarifas especiales de retención en la fuente, diferenciándolas según que los beneficiarios son extranjeros sin residencia en el país, o residentes, y agregar que esas tarifas recaen sobre pagos por indemnizaciones diferentes a las salariales, a las percibidas por nacionales por demandas contra el Estado y a aquellas contempladas en los artículos </w:t>
      </w:r>
      <w:hyperlink r:id="rId4" w:tooltip="Estatuto Tributario CETA" w:history="1">
        <w:r w:rsidRPr="007A3B40">
          <w:rPr>
            <w:rStyle w:val="Hipervnculo"/>
            <w:i/>
            <w:iCs/>
            <w:color w:val="0089E1"/>
          </w:rPr>
          <w:t>45</w:t>
        </w:r>
      </w:hyperlink>
      <w:r w:rsidRPr="007A3B40">
        <w:rPr>
          <w:i/>
          <w:iCs/>
          <w:color w:val="000000"/>
        </w:rPr>
        <w:t> y 223 del Estatuto Tributario, no quiere significar que estos pagos no estén sujetos a retención en la fuente. Lo que se sigue del contexto legal es que a los pagos exceptuados de la aplicación del artículo 401-2 se les aplican otras tarifas de retención en la fuente a título del impuesto de renta. Así, por ejemplo, la misma ley estableció una tarifa de retención específica para indemnizaciones derivadas de una relación laboral (artículo 401-3 del Estatuto Tributario).</w:t>
      </w:r>
    </w:p>
    <w:p w14:paraId="587085F0"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6FCF38E1"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i/>
          <w:iCs/>
          <w:color w:val="000000"/>
        </w:rPr>
        <w:t>En el interés de la consulta, del tenor de la citada norma y considerando el principio de legalidad de los tratamientos exceptivos, se establece que las indemnizaciones provenientes de demandas contra el Estado recibidas por nacionales colombianos, aunque no están sujetas a retención en la fuente a título del impuesto sobre la renta a las tarifas del 35% ni del 20%, </w:t>
      </w:r>
      <w:r w:rsidRPr="007A3B40">
        <w:rPr>
          <w:i/>
          <w:iCs/>
          <w:color w:val="000000"/>
          <w:u w:val="single"/>
        </w:rPr>
        <w:t>sí lo están bajo el concepto de otros ingresos tributarios y con la tarifa propia de este concepto de pago que actualmente es del 3.5% del pago o abono en cuenta</w:t>
      </w:r>
      <w:r w:rsidRPr="007A3B40">
        <w:rPr>
          <w:i/>
          <w:iCs/>
          <w:color w:val="000000"/>
        </w:rPr>
        <w:t>: Estatuto Tributario, artículo 401 y Decreto 260 de 2001, artículo 4. No está por demás agregar qué si en la sentencia contra el Estado se identifican valores de pago por concepto de daño emergente, esos valores deben depurarse de la base de retención en la fuente, de conformidad con lo previsto en el artículo 45 del Estatuto Tributario”.</w:t>
      </w:r>
    </w:p>
    <w:p w14:paraId="7BC5F0C4"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3B29818"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i/>
          <w:iCs/>
          <w:color w:val="000000"/>
          <w:sz w:val="32"/>
          <w:szCs w:val="32"/>
          <w:highlight w:val="green"/>
        </w:rPr>
        <w:t xml:space="preserve">11. ¿La venta de derechos litigiosos a un tercero, </w:t>
      </w:r>
      <w:proofErr w:type="gramStart"/>
      <w:r w:rsidRPr="007A3B40">
        <w:rPr>
          <w:i/>
          <w:iCs/>
          <w:color w:val="000000"/>
          <w:sz w:val="32"/>
          <w:szCs w:val="32"/>
          <w:highlight w:val="green"/>
        </w:rPr>
        <w:t>qué impuestos gravámenes, retenciones se deben pagar, momento, forma y la persona que está en el deber de declarar y reportar?</w:t>
      </w:r>
      <w:proofErr w:type="gramEnd"/>
    </w:p>
    <w:p w14:paraId="2581CB87"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F69C8CA"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Esta clase de derechos son considerados como activos fijos y se encuentra establecida una retención especial en las siguientes normativas.</w:t>
      </w:r>
    </w:p>
    <w:p w14:paraId="1848E9EB"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40428BA7"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398. RETENCIÓN EN LA ENAJENACIÓN DE ACTIVOS FIJOS DE PERSONAS NATURALES.</w:t>
      </w:r>
      <w:r w:rsidRPr="007A3B40">
        <w:rPr>
          <w:i/>
          <w:iCs/>
          <w:color w:val="000000"/>
        </w:rPr>
        <w:t> Los ingresos que obtengan las personas naturales por concepto de la enajenación de activos fijos, estarán sometidos a una retención en la fuente equivalente al uno por ciento (1%) del valor de la enajenación …”</w:t>
      </w:r>
    </w:p>
    <w:p w14:paraId="53F450BF"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5ECA8960"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b/>
          <w:bCs/>
          <w:color w:val="000000"/>
        </w:rPr>
        <w:t>Decreto 1625 de 2013</w:t>
      </w:r>
    </w:p>
    <w:p w14:paraId="1B05077C"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color w:val="555555"/>
        </w:rPr>
        <w:t> </w:t>
      </w:r>
    </w:p>
    <w:p w14:paraId="2AFCF132" w14:textId="77777777" w:rsidR="007A3B40" w:rsidRPr="007A3B40" w:rsidRDefault="007A3B40" w:rsidP="007A3B40">
      <w:pPr>
        <w:pStyle w:val="NormalWeb"/>
        <w:shd w:val="clear" w:color="auto" w:fill="FFFFFF"/>
        <w:spacing w:before="0" w:beforeAutospacing="0" w:after="0" w:afterAutospacing="0" w:line="360" w:lineRule="auto"/>
        <w:ind w:left="180"/>
        <w:jc w:val="both"/>
        <w:rPr>
          <w:color w:val="555555"/>
        </w:rPr>
      </w:pPr>
      <w:r w:rsidRPr="007A3B40">
        <w:rPr>
          <w:b/>
          <w:bCs/>
          <w:i/>
          <w:iCs/>
          <w:color w:val="000000"/>
        </w:rPr>
        <w:t>Artículo 1.2.5.3. Retención en la fuente en la enajenación a título de venta o dación en pago de derechos sociales o litigiosos, que constituyan activos fijos para el enajenante.</w:t>
      </w:r>
      <w:r w:rsidRPr="007A3B40">
        <w:rPr>
          <w:i/>
          <w:iCs/>
          <w:color w:val="000000"/>
        </w:rPr>
        <w:t xml:space="preserve"> La </w:t>
      </w:r>
      <w:r w:rsidRPr="007A3B40">
        <w:rPr>
          <w:i/>
          <w:iCs/>
          <w:color w:val="000000"/>
        </w:rPr>
        <w:lastRenderedPageBreak/>
        <w:t xml:space="preserve">enajenación a título de venta o dación en pago, de derechos </w:t>
      </w:r>
      <w:proofErr w:type="spellStart"/>
      <w:r w:rsidRPr="007A3B40">
        <w:rPr>
          <w:i/>
          <w:iCs/>
          <w:color w:val="000000"/>
        </w:rPr>
        <w:t>sucesorales</w:t>
      </w:r>
      <w:proofErr w:type="spellEnd"/>
      <w:r w:rsidRPr="007A3B40">
        <w:rPr>
          <w:i/>
          <w:iCs/>
          <w:color w:val="000000"/>
        </w:rPr>
        <w:t>, sociales o litigiosos, que constituyan activos fijos para el enajenante, estará sometida a una retención en la fuente del uno por ciento (1%) del valor de la enajenación, la cual deberá consignarse ante el notario que autorice la respectiva escritura pública.</w:t>
      </w:r>
    </w:p>
    <w:p w14:paraId="44BDDA23"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color w:val="555555"/>
          <w:sz w:val="32"/>
          <w:szCs w:val="32"/>
        </w:rPr>
        <w:t> </w:t>
      </w:r>
    </w:p>
    <w:p w14:paraId="42665BCA"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color w:val="000000"/>
          <w:sz w:val="32"/>
          <w:szCs w:val="32"/>
          <w:highlight w:val="green"/>
        </w:rPr>
        <w:t>12. ¿Que las anteriores inquietudes sean respondidas respecto de los dos (2) procesos, teniendo en cuenta que uno fue reconocido a través de sentencia, y otro a través de autor que aprueba la conciliación?</w:t>
      </w:r>
    </w:p>
    <w:p w14:paraId="6BDC1D83" w14:textId="77777777" w:rsidR="007A3B40" w:rsidRPr="007A3B40" w:rsidRDefault="007A3B40" w:rsidP="007A3B40">
      <w:pPr>
        <w:pStyle w:val="NormalWeb"/>
        <w:shd w:val="clear" w:color="auto" w:fill="FFFFFF"/>
        <w:spacing w:before="0" w:beforeAutospacing="0" w:after="0" w:afterAutospacing="0" w:line="360" w:lineRule="auto"/>
        <w:jc w:val="both"/>
        <w:rPr>
          <w:color w:val="555555"/>
          <w:sz w:val="32"/>
          <w:szCs w:val="32"/>
        </w:rPr>
      </w:pPr>
      <w:r w:rsidRPr="007A3B40">
        <w:rPr>
          <w:color w:val="555555"/>
          <w:sz w:val="32"/>
          <w:szCs w:val="32"/>
        </w:rPr>
        <w:t> </w:t>
      </w:r>
    </w:p>
    <w:p w14:paraId="76650F37"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Conforme a la introducción a las respuestas, es claro que, conforme a los artículos 26, 596, 800 y 381 del Estatuto Tributario, los cuales se han explicado anteriormente, independientemente de los procesos judiciales, lo que prima para que un ingreso pueda considerarse como constitutivo de renta y por lo tanto sujeto a retención en la fuente, para lo cual se requiere que se establezca: (a) que sea un ingreso propio; (b) que sea realizado durante el año o período gravable; (c) que sea susceptible de capitalizarse o producir un incremento neto en el patrimonio; y, (d) que no haya sido expresamente exceptuado como constitutivo de renta o de ganancia ocasional.</w:t>
      </w:r>
    </w:p>
    <w:p w14:paraId="1E05AF1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5B1AAD7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Por último, se le informa que bajo el marco normativo que de manera enunciativa se le ha explicado, le corresponde a quien se encuentre bajo la obligación tributaria sustancial, precisar primero el marco normativo que le obliga y como segundo, proceder de conformidad con esa normatividad a cumplir con sus obligaciones. La administración a través de este concepto solo ha informado las normas de carácter general que pueden ser aplicables al caso en particular, las cuales pueden estar sujetas a cambios y actualizaciones.</w:t>
      </w:r>
    </w:p>
    <w:p w14:paraId="297CA8B6"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4F23078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Atentamente,</w:t>
      </w:r>
    </w:p>
    <w:p w14:paraId="0DE3C46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75F30D91"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555555"/>
        </w:rPr>
        <w:t> </w:t>
      </w:r>
    </w:p>
    <w:p w14:paraId="085C6592"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b/>
          <w:bCs/>
          <w:color w:val="000000"/>
        </w:rPr>
        <w:t>LORENZO CASTILLO BARVO</w:t>
      </w:r>
    </w:p>
    <w:p w14:paraId="5BB1491C"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Subdirector de Gestión Normativa y Doctrina (E)</w:t>
      </w:r>
    </w:p>
    <w:p w14:paraId="3B4EA46B" w14:textId="77777777"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Dirección Gestión Jurídica</w:t>
      </w:r>
    </w:p>
    <w:p w14:paraId="53067044" w14:textId="128AEFE5" w:rsidR="007A3B40" w:rsidRPr="007A3B40" w:rsidRDefault="007A3B40" w:rsidP="007A3B40">
      <w:pPr>
        <w:pStyle w:val="NormalWeb"/>
        <w:shd w:val="clear" w:color="auto" w:fill="FFFFFF"/>
        <w:spacing w:before="0" w:beforeAutospacing="0" w:after="0" w:afterAutospacing="0" w:line="360" w:lineRule="auto"/>
        <w:jc w:val="both"/>
        <w:rPr>
          <w:color w:val="000000"/>
        </w:rPr>
      </w:pPr>
      <w:r w:rsidRPr="007A3B40">
        <w:rPr>
          <w:color w:val="000000"/>
        </w:rPr>
        <w:t>UAE – Dirección de Impuestos y Aduanas Nacionales</w:t>
      </w:r>
    </w:p>
    <w:p w14:paraId="7721E719" w14:textId="78A5E82E" w:rsidR="007A3B40" w:rsidRPr="007A3B40" w:rsidRDefault="007A3B40" w:rsidP="007A3B40">
      <w:pPr>
        <w:pStyle w:val="NormalWeb"/>
        <w:shd w:val="clear" w:color="auto" w:fill="FFFFFF"/>
        <w:spacing w:before="0" w:beforeAutospacing="0" w:after="0" w:afterAutospacing="0" w:line="360" w:lineRule="auto"/>
        <w:jc w:val="both"/>
        <w:rPr>
          <w:color w:val="555555"/>
        </w:rPr>
      </w:pPr>
      <w:r w:rsidRPr="007A3B40">
        <w:rPr>
          <w:color w:val="000000"/>
        </w:rPr>
        <w:t>_____________________________________________________________________________</w:t>
      </w:r>
    </w:p>
    <w:p w14:paraId="7ED9DD2D" w14:textId="77777777" w:rsidR="007F5CC8" w:rsidRPr="007A3B40" w:rsidRDefault="007F5CC8" w:rsidP="007A3B40">
      <w:pPr>
        <w:spacing w:line="360" w:lineRule="auto"/>
        <w:rPr>
          <w:rFonts w:ascii="Times New Roman" w:hAnsi="Times New Roman" w:cs="Times New Roman"/>
          <w:sz w:val="24"/>
          <w:szCs w:val="24"/>
        </w:rPr>
      </w:pPr>
    </w:p>
    <w:sectPr w:rsidR="007F5CC8" w:rsidRPr="007A3B4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40"/>
    <w:rsid w:val="000F3837"/>
    <w:rsid w:val="001E311E"/>
    <w:rsid w:val="00434AE6"/>
    <w:rsid w:val="007A3B40"/>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E798"/>
  <w15:chartTrackingRefBased/>
  <w15:docId w15:val="{E016B79F-6C57-4872-8ED9-DF9E8443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3B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A3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7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5288</Words>
  <Characters>29086</Characters>
  <Application>Microsoft Office Word</Application>
  <DocSecurity>0</DocSecurity>
  <Lines>242</Lines>
  <Paragraphs>68</Paragraphs>
  <ScaleCrop>false</ScaleCrop>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2020-08-24T17:58:00Z</dcterms:created>
  <dcterms:modified xsi:type="dcterms:W3CDTF">2020-08-24T18:06:00Z</dcterms:modified>
</cp:coreProperties>
</file>