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48A2" w:rsidRPr="003C48A2" w:rsidRDefault="003C48A2" w:rsidP="003C48A2">
      <w:pPr>
        <w:shd w:val="clear" w:color="auto" w:fill="FFFFFF"/>
        <w:spacing w:after="150" w:line="240" w:lineRule="auto"/>
        <w:jc w:val="center"/>
        <w:rPr>
          <w:rFonts w:eastAsia="Times New Roman" w:cs="Times New Roman"/>
          <w:szCs w:val="24"/>
          <w:lang w:eastAsia="es-ES"/>
        </w:rPr>
      </w:pPr>
      <w:r w:rsidRPr="003C48A2">
        <w:rPr>
          <w:rFonts w:eastAsia="Times New Roman" w:cs="Times New Roman"/>
          <w:b/>
          <w:bCs/>
          <w:szCs w:val="24"/>
          <w:lang w:val="es-CO" w:eastAsia="es-ES"/>
        </w:rPr>
        <w:t xml:space="preserve">OFICIO </w:t>
      </w:r>
      <w:proofErr w:type="spellStart"/>
      <w:r w:rsidRPr="003C48A2">
        <w:rPr>
          <w:rFonts w:eastAsia="Times New Roman" w:cs="Times New Roman"/>
          <w:b/>
          <w:bCs/>
          <w:szCs w:val="24"/>
          <w:lang w:val="es-CO" w:eastAsia="es-ES"/>
        </w:rPr>
        <w:t>Nº</w:t>
      </w:r>
      <w:proofErr w:type="spellEnd"/>
      <w:r w:rsidRPr="003C48A2">
        <w:rPr>
          <w:rFonts w:eastAsia="Times New Roman" w:cs="Times New Roman"/>
          <w:b/>
          <w:bCs/>
          <w:szCs w:val="24"/>
          <w:lang w:val="es-CO" w:eastAsia="es-ES"/>
        </w:rPr>
        <w:t xml:space="preserve"> 032153</w:t>
      </w:r>
    </w:p>
    <w:p w:rsidR="003C48A2" w:rsidRPr="003C48A2" w:rsidRDefault="003C48A2" w:rsidP="003C48A2">
      <w:pPr>
        <w:shd w:val="clear" w:color="auto" w:fill="FFFFFF"/>
        <w:spacing w:after="150" w:line="240" w:lineRule="auto"/>
        <w:jc w:val="center"/>
        <w:rPr>
          <w:rFonts w:eastAsia="Times New Roman" w:cs="Times New Roman"/>
          <w:szCs w:val="24"/>
          <w:lang w:eastAsia="es-ES"/>
        </w:rPr>
      </w:pPr>
      <w:r w:rsidRPr="003C48A2">
        <w:rPr>
          <w:rFonts w:eastAsia="Times New Roman" w:cs="Times New Roman"/>
          <w:b/>
          <w:bCs/>
          <w:szCs w:val="24"/>
          <w:lang w:val="es-CO" w:eastAsia="es-ES"/>
        </w:rPr>
        <w:t>31-12-2019</w:t>
      </w:r>
    </w:p>
    <w:p w:rsidR="003C48A2" w:rsidRPr="003C48A2" w:rsidRDefault="003C48A2" w:rsidP="003C48A2">
      <w:pPr>
        <w:shd w:val="clear" w:color="auto" w:fill="FFFFFF"/>
        <w:spacing w:after="150" w:line="240" w:lineRule="auto"/>
        <w:jc w:val="center"/>
        <w:rPr>
          <w:rFonts w:eastAsia="Times New Roman" w:cs="Times New Roman"/>
          <w:szCs w:val="24"/>
          <w:lang w:eastAsia="es-ES"/>
        </w:rPr>
      </w:pPr>
      <w:r w:rsidRPr="003C48A2">
        <w:rPr>
          <w:rFonts w:eastAsia="Times New Roman" w:cs="Times New Roman"/>
          <w:b/>
          <w:bCs/>
          <w:szCs w:val="24"/>
          <w:lang w:val="es-CO" w:eastAsia="es-ES"/>
        </w:rPr>
        <w:t>DIAN</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val="es-CO" w:eastAsia="es-ES"/>
        </w:rPr>
        <w:t>Subdirección de Gestión Normativa y Doctrina</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val="es-CO" w:eastAsia="es-ES"/>
        </w:rPr>
        <w:t>100202208-1457</w:t>
      </w:r>
      <w:bookmarkStart w:id="0" w:name="_GoBack"/>
      <w:bookmarkEnd w:id="0"/>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val="es-CO" w:eastAsia="es-ES"/>
        </w:rPr>
        <w:t>Bogotá, D.C.</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proofErr w:type="spellStart"/>
      <w:r w:rsidRPr="003C48A2">
        <w:rPr>
          <w:rFonts w:eastAsia="Times New Roman" w:cs="Times New Roman"/>
          <w:b/>
          <w:bCs/>
          <w:szCs w:val="24"/>
          <w:lang w:val="es-CO" w:eastAsia="es-ES"/>
        </w:rPr>
        <w:t>Ref</w:t>
      </w:r>
      <w:proofErr w:type="spellEnd"/>
      <w:r w:rsidRPr="003C48A2">
        <w:rPr>
          <w:rFonts w:eastAsia="Times New Roman" w:cs="Times New Roman"/>
          <w:b/>
          <w:bCs/>
          <w:szCs w:val="24"/>
          <w:lang w:val="es-CO" w:eastAsia="es-ES"/>
        </w:rPr>
        <w:t>:</w:t>
      </w:r>
      <w:r w:rsidRPr="003C48A2">
        <w:rPr>
          <w:rFonts w:eastAsia="Times New Roman" w:cs="Times New Roman"/>
          <w:szCs w:val="24"/>
          <w:lang w:val="es-CO" w:eastAsia="es-ES"/>
        </w:rPr>
        <w:t> Radicado 100070651 del 02/09/2019</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69"/>
        <w:gridCol w:w="276"/>
        <w:gridCol w:w="276"/>
        <w:gridCol w:w="4489"/>
      </w:tblGrid>
      <w:tr w:rsidR="003C48A2" w:rsidRPr="003C48A2" w:rsidTr="003C48A2">
        <w:tc>
          <w:tcPr>
            <w:tcW w:w="0" w:type="auto"/>
            <w:tcBorders>
              <w:top w:val="nil"/>
              <w:left w:val="nil"/>
              <w:bottom w:val="nil"/>
              <w:right w:val="nil"/>
            </w:tcBorders>
            <w:shd w:val="clear" w:color="auto" w:fill="FFFFFF"/>
            <w:tcMar>
              <w:top w:w="0" w:type="dxa"/>
              <w:left w:w="108" w:type="dxa"/>
              <w:bottom w:w="0" w:type="dxa"/>
              <w:right w:w="108" w:type="dxa"/>
            </w:tcMar>
            <w:hideMark/>
          </w:tcPr>
          <w:p w:rsidR="003C48A2" w:rsidRPr="003C48A2" w:rsidRDefault="003C48A2" w:rsidP="003C48A2">
            <w:pPr>
              <w:spacing w:line="240" w:lineRule="auto"/>
              <w:rPr>
                <w:rFonts w:eastAsia="Times New Roman" w:cs="Times New Roman"/>
                <w:szCs w:val="24"/>
                <w:lang w:eastAsia="es-ES"/>
              </w:rPr>
            </w:pPr>
            <w:r w:rsidRPr="003C48A2">
              <w:rPr>
                <w:rFonts w:eastAsia="Times New Roman" w:cs="Times New Roman"/>
                <w:b/>
                <w:bCs/>
                <w:szCs w:val="24"/>
                <w:lang w:val="es-CO" w:eastAsia="es-ES"/>
              </w:rPr>
              <w:t>Tema</w:t>
            </w:r>
          </w:p>
        </w:tc>
        <w:tc>
          <w:tcPr>
            <w:tcW w:w="0" w:type="auto"/>
            <w:tcBorders>
              <w:top w:val="nil"/>
              <w:left w:val="nil"/>
              <w:bottom w:val="nil"/>
              <w:right w:val="nil"/>
            </w:tcBorders>
            <w:shd w:val="clear" w:color="auto" w:fill="FFFFFF"/>
            <w:tcMar>
              <w:top w:w="0" w:type="dxa"/>
              <w:left w:w="108" w:type="dxa"/>
              <w:bottom w:w="0" w:type="dxa"/>
              <w:right w:w="108" w:type="dxa"/>
            </w:tcMar>
            <w:hideMark/>
          </w:tcPr>
          <w:p w:rsidR="003C48A2" w:rsidRPr="003C48A2" w:rsidRDefault="003C48A2" w:rsidP="003C48A2">
            <w:pPr>
              <w:spacing w:line="240" w:lineRule="auto"/>
              <w:rPr>
                <w:rFonts w:eastAsia="Times New Roman" w:cs="Times New Roman"/>
                <w:szCs w:val="24"/>
                <w:lang w:eastAsia="es-ES"/>
              </w:rPr>
            </w:pPr>
            <w:r w:rsidRPr="003C48A2">
              <w:rPr>
                <w:rFonts w:eastAsia="Times New Roman" w:cs="Times New Roman"/>
                <w:szCs w:val="24"/>
                <w:lang w:eastAsia="es-ES"/>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rsidR="003C48A2" w:rsidRPr="003C48A2" w:rsidRDefault="003C48A2" w:rsidP="003C48A2">
            <w:pPr>
              <w:spacing w:line="240" w:lineRule="auto"/>
              <w:rPr>
                <w:rFonts w:eastAsia="Times New Roman" w:cs="Times New Roman"/>
                <w:szCs w:val="24"/>
                <w:lang w:eastAsia="es-ES"/>
              </w:rPr>
            </w:pPr>
            <w:r w:rsidRPr="003C48A2">
              <w:rPr>
                <w:rFonts w:eastAsia="Times New Roman" w:cs="Times New Roman"/>
                <w:szCs w:val="24"/>
                <w:lang w:eastAsia="es-ES"/>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rsidR="003C48A2" w:rsidRPr="003C48A2" w:rsidRDefault="003C48A2" w:rsidP="003C48A2">
            <w:pPr>
              <w:spacing w:line="240" w:lineRule="auto"/>
              <w:rPr>
                <w:rFonts w:eastAsia="Times New Roman" w:cs="Times New Roman"/>
                <w:szCs w:val="24"/>
                <w:lang w:eastAsia="es-ES"/>
              </w:rPr>
            </w:pPr>
            <w:r w:rsidRPr="003C48A2">
              <w:rPr>
                <w:rFonts w:eastAsia="Times New Roman" w:cs="Times New Roman"/>
                <w:szCs w:val="24"/>
                <w:lang w:val="es-CO" w:eastAsia="es-ES"/>
              </w:rPr>
              <w:t>Impuesto sobre la Renta y Complementarios</w:t>
            </w:r>
          </w:p>
        </w:tc>
      </w:tr>
      <w:tr w:rsidR="003C48A2" w:rsidRPr="003C48A2" w:rsidTr="003C48A2">
        <w:tc>
          <w:tcPr>
            <w:tcW w:w="0" w:type="auto"/>
            <w:tcBorders>
              <w:top w:val="nil"/>
              <w:left w:val="nil"/>
              <w:bottom w:val="nil"/>
              <w:right w:val="nil"/>
            </w:tcBorders>
            <w:shd w:val="clear" w:color="auto" w:fill="FFFFFF"/>
            <w:tcMar>
              <w:top w:w="0" w:type="dxa"/>
              <w:left w:w="108" w:type="dxa"/>
              <w:bottom w:w="0" w:type="dxa"/>
              <w:right w:w="108" w:type="dxa"/>
            </w:tcMar>
            <w:hideMark/>
          </w:tcPr>
          <w:p w:rsidR="003C48A2" w:rsidRPr="003C48A2" w:rsidRDefault="003C48A2" w:rsidP="003C48A2">
            <w:pPr>
              <w:spacing w:line="240" w:lineRule="auto"/>
              <w:rPr>
                <w:rFonts w:eastAsia="Times New Roman" w:cs="Times New Roman"/>
                <w:szCs w:val="24"/>
                <w:lang w:eastAsia="es-ES"/>
              </w:rPr>
            </w:pPr>
            <w:r w:rsidRPr="003C48A2">
              <w:rPr>
                <w:rFonts w:eastAsia="Times New Roman" w:cs="Times New Roman"/>
                <w:b/>
                <w:bCs/>
                <w:szCs w:val="24"/>
                <w:lang w:val="es-CO" w:eastAsia="es-ES"/>
              </w:rPr>
              <w:t>Descriptores</w:t>
            </w:r>
          </w:p>
        </w:tc>
        <w:tc>
          <w:tcPr>
            <w:tcW w:w="0" w:type="auto"/>
            <w:tcBorders>
              <w:top w:val="nil"/>
              <w:left w:val="nil"/>
              <w:bottom w:val="nil"/>
              <w:right w:val="nil"/>
            </w:tcBorders>
            <w:shd w:val="clear" w:color="auto" w:fill="FFFFFF"/>
            <w:tcMar>
              <w:top w:w="0" w:type="dxa"/>
              <w:left w:w="108" w:type="dxa"/>
              <w:bottom w:w="0" w:type="dxa"/>
              <w:right w:w="108" w:type="dxa"/>
            </w:tcMar>
            <w:hideMark/>
          </w:tcPr>
          <w:p w:rsidR="003C48A2" w:rsidRPr="003C48A2" w:rsidRDefault="003C48A2" w:rsidP="003C48A2">
            <w:pPr>
              <w:spacing w:line="240" w:lineRule="auto"/>
              <w:rPr>
                <w:rFonts w:eastAsia="Times New Roman" w:cs="Times New Roman"/>
                <w:szCs w:val="24"/>
                <w:lang w:eastAsia="es-ES"/>
              </w:rPr>
            </w:pPr>
            <w:r w:rsidRPr="003C48A2">
              <w:rPr>
                <w:rFonts w:eastAsia="Times New Roman" w:cs="Times New Roman"/>
                <w:szCs w:val="24"/>
                <w:lang w:eastAsia="es-ES"/>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rsidR="003C48A2" w:rsidRPr="003C48A2" w:rsidRDefault="003C48A2" w:rsidP="003C48A2">
            <w:pPr>
              <w:spacing w:line="240" w:lineRule="auto"/>
              <w:rPr>
                <w:rFonts w:eastAsia="Times New Roman" w:cs="Times New Roman"/>
                <w:szCs w:val="24"/>
                <w:lang w:eastAsia="es-ES"/>
              </w:rPr>
            </w:pPr>
            <w:r w:rsidRPr="003C48A2">
              <w:rPr>
                <w:rFonts w:eastAsia="Times New Roman" w:cs="Times New Roman"/>
                <w:szCs w:val="24"/>
                <w:lang w:eastAsia="es-ES"/>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rsidR="003C48A2" w:rsidRPr="003C48A2" w:rsidRDefault="003C48A2" w:rsidP="003C48A2">
            <w:pPr>
              <w:spacing w:line="240" w:lineRule="auto"/>
              <w:rPr>
                <w:rFonts w:eastAsia="Times New Roman" w:cs="Times New Roman"/>
                <w:szCs w:val="24"/>
                <w:lang w:eastAsia="es-ES"/>
              </w:rPr>
            </w:pPr>
            <w:r w:rsidRPr="003C48A2">
              <w:rPr>
                <w:rFonts w:eastAsia="Times New Roman" w:cs="Times New Roman"/>
                <w:szCs w:val="24"/>
                <w:lang w:val="es-CO" w:eastAsia="es-ES"/>
              </w:rPr>
              <w:t>Dividendos</w:t>
            </w:r>
          </w:p>
        </w:tc>
      </w:tr>
      <w:tr w:rsidR="003C48A2" w:rsidRPr="003C48A2" w:rsidTr="003C48A2">
        <w:tc>
          <w:tcPr>
            <w:tcW w:w="0" w:type="auto"/>
            <w:tcBorders>
              <w:top w:val="nil"/>
              <w:left w:val="nil"/>
              <w:bottom w:val="nil"/>
              <w:right w:val="nil"/>
            </w:tcBorders>
            <w:shd w:val="clear" w:color="auto" w:fill="FFFFFF"/>
            <w:tcMar>
              <w:top w:w="0" w:type="dxa"/>
              <w:left w:w="108" w:type="dxa"/>
              <w:bottom w:w="0" w:type="dxa"/>
              <w:right w:w="108" w:type="dxa"/>
            </w:tcMar>
            <w:hideMark/>
          </w:tcPr>
          <w:p w:rsidR="003C48A2" w:rsidRPr="003C48A2" w:rsidRDefault="003C48A2" w:rsidP="003C48A2">
            <w:pPr>
              <w:spacing w:after="150" w:line="240" w:lineRule="auto"/>
              <w:rPr>
                <w:rFonts w:eastAsia="Times New Roman" w:cs="Times New Roman"/>
                <w:szCs w:val="24"/>
                <w:lang w:eastAsia="es-ES"/>
              </w:rPr>
            </w:pPr>
            <w:r w:rsidRPr="003C48A2">
              <w:rPr>
                <w:rFonts w:eastAsia="Times New Roman" w:cs="Times New Roman"/>
                <w:b/>
                <w:bCs/>
                <w:szCs w:val="24"/>
                <w:lang w:val="es-CO" w:eastAsia="es-ES"/>
              </w:rPr>
              <w:t>Fuentes formales</w:t>
            </w:r>
          </w:p>
          <w:p w:rsidR="003C48A2" w:rsidRPr="003C48A2" w:rsidRDefault="003C48A2" w:rsidP="003C48A2">
            <w:pPr>
              <w:spacing w:line="240" w:lineRule="auto"/>
              <w:rPr>
                <w:rFonts w:eastAsia="Times New Roman" w:cs="Times New Roman"/>
                <w:szCs w:val="24"/>
                <w:lang w:eastAsia="es-ES"/>
              </w:rPr>
            </w:pPr>
            <w:r w:rsidRPr="003C48A2">
              <w:rPr>
                <w:rFonts w:eastAsia="Times New Roman" w:cs="Times New Roman"/>
                <w:szCs w:val="24"/>
                <w:lang w:eastAsia="es-ES"/>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rsidR="003C48A2" w:rsidRPr="003C48A2" w:rsidRDefault="003C48A2" w:rsidP="003C48A2">
            <w:pPr>
              <w:spacing w:line="240" w:lineRule="auto"/>
              <w:rPr>
                <w:rFonts w:eastAsia="Times New Roman" w:cs="Times New Roman"/>
                <w:szCs w:val="24"/>
                <w:lang w:eastAsia="es-ES"/>
              </w:rPr>
            </w:pPr>
            <w:r w:rsidRPr="003C48A2">
              <w:rPr>
                <w:rFonts w:eastAsia="Times New Roman" w:cs="Times New Roman"/>
                <w:szCs w:val="24"/>
                <w:lang w:eastAsia="es-ES"/>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rsidR="003C48A2" w:rsidRPr="003C48A2" w:rsidRDefault="003C48A2" w:rsidP="003C48A2">
            <w:pPr>
              <w:spacing w:line="240" w:lineRule="auto"/>
              <w:rPr>
                <w:rFonts w:eastAsia="Times New Roman" w:cs="Times New Roman"/>
                <w:szCs w:val="24"/>
                <w:lang w:eastAsia="es-ES"/>
              </w:rPr>
            </w:pPr>
            <w:r w:rsidRPr="003C48A2">
              <w:rPr>
                <w:rFonts w:eastAsia="Times New Roman" w:cs="Times New Roman"/>
                <w:szCs w:val="24"/>
                <w:lang w:eastAsia="es-ES"/>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rsidR="003C48A2" w:rsidRPr="003C48A2" w:rsidRDefault="003C48A2" w:rsidP="003C48A2">
            <w:pPr>
              <w:spacing w:after="150" w:line="240" w:lineRule="auto"/>
              <w:rPr>
                <w:rFonts w:eastAsia="Times New Roman" w:cs="Times New Roman"/>
                <w:szCs w:val="24"/>
                <w:lang w:eastAsia="es-ES"/>
              </w:rPr>
            </w:pPr>
            <w:r w:rsidRPr="003C48A2">
              <w:rPr>
                <w:rFonts w:eastAsia="Times New Roman" w:cs="Times New Roman"/>
                <w:szCs w:val="24"/>
                <w:lang w:val="es-CO" w:eastAsia="es-ES"/>
              </w:rPr>
              <w:t>Artículo 242-1 del Estatuto Tributario</w:t>
            </w:r>
          </w:p>
          <w:p w:rsidR="003C48A2" w:rsidRPr="003C48A2" w:rsidRDefault="003C48A2" w:rsidP="003C48A2">
            <w:pPr>
              <w:spacing w:after="150" w:line="240" w:lineRule="auto"/>
              <w:rPr>
                <w:rFonts w:eastAsia="Times New Roman" w:cs="Times New Roman"/>
                <w:szCs w:val="24"/>
                <w:lang w:eastAsia="es-ES"/>
              </w:rPr>
            </w:pPr>
            <w:r w:rsidRPr="003C48A2">
              <w:rPr>
                <w:rFonts w:eastAsia="Times New Roman" w:cs="Times New Roman"/>
                <w:szCs w:val="24"/>
                <w:lang w:val="es-CO" w:eastAsia="es-ES"/>
              </w:rPr>
              <w:t>Artículo 246-1 del Estatuto Tributario</w:t>
            </w:r>
          </w:p>
          <w:p w:rsidR="003C48A2" w:rsidRPr="003C48A2" w:rsidRDefault="003C48A2" w:rsidP="003C48A2">
            <w:pPr>
              <w:spacing w:after="150" w:line="240" w:lineRule="auto"/>
              <w:rPr>
                <w:rFonts w:eastAsia="Times New Roman" w:cs="Times New Roman"/>
                <w:szCs w:val="24"/>
                <w:lang w:eastAsia="es-ES"/>
              </w:rPr>
            </w:pPr>
            <w:r w:rsidRPr="003C48A2">
              <w:rPr>
                <w:rFonts w:eastAsia="Times New Roman" w:cs="Times New Roman"/>
                <w:szCs w:val="24"/>
                <w:lang w:val="es-CO" w:eastAsia="es-ES"/>
              </w:rPr>
              <w:t>Artículo 121 de la Ley 1943 de 2018</w:t>
            </w:r>
          </w:p>
          <w:p w:rsidR="003C48A2" w:rsidRPr="003C48A2" w:rsidRDefault="003C48A2" w:rsidP="003C48A2">
            <w:pPr>
              <w:spacing w:line="240" w:lineRule="auto"/>
              <w:rPr>
                <w:rFonts w:eastAsia="Times New Roman" w:cs="Times New Roman"/>
                <w:szCs w:val="24"/>
                <w:lang w:eastAsia="es-ES"/>
              </w:rPr>
            </w:pPr>
            <w:r w:rsidRPr="003C48A2">
              <w:rPr>
                <w:rFonts w:eastAsia="Times New Roman" w:cs="Times New Roman"/>
                <w:szCs w:val="24"/>
                <w:lang w:val="es-CO" w:eastAsia="es-ES"/>
              </w:rPr>
              <w:t>Oficio No. 006313 del 13 de marzo de 2019</w:t>
            </w:r>
          </w:p>
        </w:tc>
      </w:tr>
    </w:tbl>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val="es-CO" w:eastAsia="es-ES"/>
        </w:rPr>
        <w:t>Estimado señor Rodríguez:</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val="es-CO" w:eastAsia="es-ES"/>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val="es-CO" w:eastAsia="es-ES"/>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val="es-CO" w:eastAsia="es-ES"/>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val="es-CO" w:eastAsia="es-ES"/>
        </w:rPr>
        <w:t>Mediante escrito radicado No. 100070651 del 02 de septiembre de dos mil diecinueve (2019) esta Subdirección recibió una consulta por medio de la cual se solicita precisar la correcta aplicación de los artículos 50 de la Ley 1943 de 2018 y 242-1 del Estatuto Tributario (en adelante "E.T.") referentes a la tarifa especial para dividendos o participaciones recibidas por sociedades nacionales, en los siguientes términos:</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i/>
          <w:iCs/>
          <w:szCs w:val="24"/>
          <w:lang w:val="es-CO" w:eastAsia="es-ES"/>
        </w:rPr>
        <w:t>“Una sociedad nacional en el mes de mayo de (sic) del año 2019 distribuyó a sus dos socios que son sociedades nacionales residentes en Colombia dividendos sobre utilidades que generó en el año 2015. La aclaración que solicito es:</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i/>
          <w:iCs/>
          <w:szCs w:val="24"/>
          <w:lang w:val="es-CO" w:eastAsia="es-ES"/>
        </w:rPr>
        <w:lastRenderedPageBreak/>
        <w:t>¿Si la sociedad que distribuyó estos dividendos en el año 2019 que corresponden a utilidades generadas en el año 2015 y que no fueron decretadas en calidad de exigibles a diciembre 31 de 2018 como lo establecen el artículo 121 de la Ley 1943 de 2018, tiene que realizar la retención en la fuente del 7,5% que establecen los artículos 50 de la Ley 1943 de 2018 y 242-1 del Estatuto Tributario?"</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val="es-CO" w:eastAsia="es-ES"/>
        </w:rPr>
        <w:t>En atención a la consulta, se procede a analizar las siguientes consideraciones tributarías:</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val="es-CO" w:eastAsia="es-ES"/>
        </w:rPr>
        <w:t>1. Este despacho por medio del Oficio No. 006313 del 13 de marzo de 2019, estableció, entre otros, que:</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i/>
          <w:iCs/>
          <w:szCs w:val="24"/>
          <w:lang w:val="es-CO" w:eastAsia="es-ES"/>
        </w:rPr>
        <w:t>"(...) Nos permitimos confirmar que el artículo 121 de la Ley 1943 de 2018 no genera una derogatoria tacita del artículo 246-1 del Estatuto Tributario (“E.T.”). Por lo cual, es posible precisar que los dividendos que se repartan con cargo a utilidades generadas antes del treinta y uno (31) de diciembre de 2016 no estarán sujetas a lo establecido en los artículos 242, 242-1, 245, 246, 342 y 343 del Estatuto Tributario.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i/>
          <w:iCs/>
          <w:szCs w:val="24"/>
          <w:lang w:val="es-CO" w:eastAsia="es-ES"/>
        </w:rPr>
        <w:t>De lo anterior, concluimos que con la entrada en vigencia de la Ley 1943 de 2018, los dividendos que se repartan con cargo a utilidades generadas antes del primero (01) de enero de 2017 no estarán sujetas a lo establecido en los artículos 242, 242-1, 245, 246, 342 y 343 del Estatuto Tributario, tal y como lo establece el artículo 246-1 del E.T.</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i/>
          <w:iCs/>
          <w:szCs w:val="24"/>
          <w:lang w:val="es-CO" w:eastAsia="es-ES"/>
        </w:rPr>
        <w:t>Para efectos de mayor claridad, consideramos necesario aclarar las posibles situaciones que se generan respecto a la distribución de dividendos con ocasión a los artículos 246-1 del E.T. y el artículo 121 de la Ley 1943 de 2018:</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i/>
          <w:iCs/>
          <w:szCs w:val="24"/>
          <w:lang w:val="es-CO" w:eastAsia="es-ES"/>
        </w:rPr>
        <w:t>a) Los dividendos que se repartan con cargo a utilidades generadas antes del 31 de diciembre de 2016, no le será aplicable la tarifa especial para dividendos establecida en la Ley 1819 de 2016 ni los cambios incluidos por la Ley 1943 de 2018.</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i/>
          <w:iCs/>
          <w:szCs w:val="24"/>
          <w:lang w:val="es-CO" w:eastAsia="es-ES"/>
        </w:rPr>
        <w:t>b) Los dividendos que se repartan con cargo a utilidades generadas entre el 01 de enero de 2017 y el 31 de diciembre de 2018, que hayan sido decretados en calidad de exigibles antes del 31 de diciembre de 2018, les serán aplicables las normas incluidas en la Ley 1819 de 2016 y no los cambios incluidos por la Ley 1943 de 2018.</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i/>
          <w:iCs/>
          <w:szCs w:val="24"/>
          <w:lang w:val="es-CO" w:eastAsia="es-ES"/>
        </w:rPr>
        <w:t>c) Los dividendos que se repartan con cargo a utilidades generadas a partir del 01 de enero de 2017 que no hayan sido decretados en calidad de exigibles antes del 31 de diciembre de 2018, les serán aplicables los cambios incluidos en la Ley 1943 de 2018 respecto a la tarifa especial para dividendos.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val="es-CO" w:eastAsia="es-ES"/>
        </w:rPr>
        <w:t>2. Sin embargo, es necesario revocar parcialmente lo señalado en el Oficio No. 006313 del 13 de marzo de 2019 en la medida que el artículo 246-1 del E.T. establece el régimen de transición para el impuesto a los dividendos señalado en los artículos 242, 245, 246, 342 y 343 del E.T.</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val="es-CO" w:eastAsia="es-ES"/>
        </w:rPr>
        <w:t>3. Por lo anterior, es posible evidenciar que lo establecido en el artículo 246-1 del E.T. no es aplicable al artículo 242-1 del E.T., adicionado por el artículo 50 de la Ley 1943 de 2018, donde se establece la tarifa especial para dividendos o participaciones recibidas por sociedades nacionales.</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lastRenderedPageBreak/>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val="es-CO" w:eastAsia="es-ES"/>
        </w:rPr>
        <w:t>4. Sin embargo, es preciso señalar que el artículo 121 de la Ley 1943 de 2018 establece que:</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b/>
          <w:bCs/>
          <w:i/>
          <w:iCs/>
          <w:szCs w:val="24"/>
          <w:lang w:val="es-CO" w:eastAsia="es-ES"/>
        </w:rPr>
        <w:t>“ARTÍCULO 121. TRANSICIÓN EN MATERIA DE DIVIDENDOS.</w:t>
      </w:r>
      <w:r w:rsidRPr="003C48A2">
        <w:rPr>
          <w:rFonts w:eastAsia="Times New Roman" w:cs="Times New Roman"/>
          <w:i/>
          <w:iCs/>
          <w:szCs w:val="24"/>
          <w:lang w:val="es-CO" w:eastAsia="es-ES"/>
        </w:rPr>
        <w:t> Los dividendos decretados en calidad de exigibles a 31 de diciembre de 2018, mantendrán el tratamiento aplicable con anterioridad a la vigencia de esta ley."</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val="es-CO" w:eastAsia="es-ES"/>
        </w:rPr>
        <w:t>5. En esta medida, es posible considerar que los dividendos o participaciones que sean distribuidos a sociedades nacionales a partir del primero (01) de enero de 2019 les será aplicable lo establecido en el artículo 242-1 del E.T., así estos dividendos se repartan con cargo a utilidades generadas antes del 31 de diciembre de 2016.</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val="es-CO" w:eastAsia="es-ES"/>
        </w:rPr>
        <w:t>6. En conclusión, es posible confirmar que para el caso de análisis habría lugar a practicar la retención en la fuente establecida en el artículo 242-1 del E.T., ya que los dividendos serán distribuidos en 2019 a sociedades nacionales, así estos se repartan con cargo a utilidades generadas antes del 31 de diciembre de 2016.</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val="es-CO" w:eastAsia="es-ES"/>
        </w:rPr>
        <w:t>7. Por otro lado, se reitera la revocatoria parcial del Oficio No. 006313 del 13 de marzo de 2019 respecto a la referencia del artículo 242-1 del E.T. en los puntos 1.1. y 1.11. Así mismo, se aclara que lo establecido en el artículo 246-1 del E.T. no es aplicable al artículo 242-1 del E.T. y que el régimen de transición aplicable a dicho impuesto es el señalado en el artículo 121 de la Ley 1943 de 2018.</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val="es-CO" w:eastAsia="es-ES"/>
        </w:rPr>
        <w:t>Atentamente,</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eastAsia="es-ES"/>
        </w:rPr>
        <w:t> </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b/>
          <w:bCs/>
          <w:szCs w:val="24"/>
          <w:lang w:val="es-CO" w:eastAsia="es-ES"/>
        </w:rPr>
        <w:t>LILIANA ANDREA FORERO GÓMEZ</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val="es-CO" w:eastAsia="es-ES"/>
        </w:rPr>
        <w:t>Directora de Gestión Jurídica</w:t>
      </w:r>
    </w:p>
    <w:p w:rsidR="003C48A2" w:rsidRPr="003C48A2" w:rsidRDefault="003C48A2" w:rsidP="003C48A2">
      <w:pPr>
        <w:shd w:val="clear" w:color="auto" w:fill="FFFFFF"/>
        <w:spacing w:after="150" w:line="240" w:lineRule="auto"/>
        <w:rPr>
          <w:rFonts w:eastAsia="Times New Roman" w:cs="Times New Roman"/>
          <w:szCs w:val="24"/>
          <w:lang w:eastAsia="es-ES"/>
        </w:rPr>
      </w:pPr>
      <w:r w:rsidRPr="003C48A2">
        <w:rPr>
          <w:rFonts w:eastAsia="Times New Roman" w:cs="Times New Roman"/>
          <w:szCs w:val="24"/>
          <w:lang w:val="es-CO" w:eastAsia="es-ES"/>
        </w:rPr>
        <w:t>Dirección de Gestión Jurídica</w:t>
      </w:r>
    </w:p>
    <w:p w:rsidR="003C48A2" w:rsidRPr="003C48A2" w:rsidRDefault="003C48A2" w:rsidP="003C48A2">
      <w:pPr>
        <w:shd w:val="clear" w:color="auto" w:fill="FFFFFF"/>
        <w:spacing w:line="240" w:lineRule="auto"/>
        <w:rPr>
          <w:rFonts w:eastAsia="Times New Roman" w:cs="Times New Roman"/>
          <w:szCs w:val="24"/>
          <w:lang w:eastAsia="es-ES"/>
        </w:rPr>
      </w:pPr>
      <w:r w:rsidRPr="003C48A2">
        <w:rPr>
          <w:rFonts w:eastAsia="Times New Roman" w:cs="Times New Roman"/>
          <w:szCs w:val="24"/>
          <w:lang w:val="es-CO" w:eastAsia="es-ES"/>
        </w:rPr>
        <w:t>UAE- Dirección de Impuestos y Aduanas Nacionales</w:t>
      </w:r>
    </w:p>
    <w:p w:rsidR="007F5CC8" w:rsidRPr="003C48A2" w:rsidRDefault="007F5CC8">
      <w:pPr>
        <w:rPr>
          <w:rFonts w:cs="Times New Roman"/>
          <w:szCs w:val="24"/>
        </w:rPr>
      </w:pPr>
    </w:p>
    <w:sectPr w:rsidR="007F5CC8" w:rsidRPr="003C48A2" w:rsidSect="00434AE6">
      <w:type w:val="continuous"/>
      <w:pgSz w:w="12191" w:h="18711"/>
      <w:pgMar w:top="1134" w:right="1134"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A2"/>
    <w:rsid w:val="001E311E"/>
    <w:rsid w:val="003C48A2"/>
    <w:rsid w:val="00434AE6"/>
    <w:rsid w:val="007F5CC8"/>
    <w:rsid w:val="008779B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429EB-65F9-4AFB-AC4D-0D56F90E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s-E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6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1034</Words>
  <Characters>5688</Characters>
  <Application>Microsoft Office Word</Application>
  <DocSecurity>0</DocSecurity>
  <Lines>47</Lines>
  <Paragraphs>13</Paragraphs>
  <ScaleCrop>false</ScaleCrop>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2020-03-18T16:38:00Z</dcterms:created>
  <dcterms:modified xsi:type="dcterms:W3CDTF">2020-03-18T16:41:00Z</dcterms:modified>
</cp:coreProperties>
</file>