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58709" w14:textId="77777777" w:rsidR="00305162" w:rsidRPr="00305162" w:rsidRDefault="00305162" w:rsidP="00305162">
      <w:pPr>
        <w:spacing w:line="240" w:lineRule="auto"/>
        <w:rPr>
          <w:rFonts w:eastAsia="Times New Roman" w:cs="Times New Roman"/>
          <w:szCs w:val="24"/>
          <w:lang w:val="es-CO" w:eastAsia="es-ES"/>
        </w:rPr>
      </w:pPr>
    </w:p>
    <w:p w14:paraId="51454581" w14:textId="77777777" w:rsidR="00305162" w:rsidRPr="00305162" w:rsidRDefault="00305162" w:rsidP="00305162">
      <w:pPr>
        <w:spacing w:line="240" w:lineRule="auto"/>
        <w:rPr>
          <w:rFonts w:eastAsia="Times New Roman" w:cs="Times New Roman"/>
          <w:szCs w:val="24"/>
          <w:lang w:val="es-CO" w:eastAsia="es-ES"/>
        </w:rPr>
      </w:pPr>
    </w:p>
    <w:p w14:paraId="29E13AFF" w14:textId="77777777" w:rsidR="00305162" w:rsidRPr="00305162" w:rsidRDefault="00305162" w:rsidP="00305162">
      <w:pPr>
        <w:spacing w:line="240" w:lineRule="auto"/>
        <w:rPr>
          <w:rFonts w:eastAsia="Times New Roman" w:cs="Times New Roman"/>
          <w:szCs w:val="24"/>
          <w:lang w:val="es-CO" w:eastAsia="es-ES"/>
        </w:rPr>
      </w:pPr>
    </w:p>
    <w:p w14:paraId="7F27C5D6" w14:textId="77777777" w:rsidR="00305162" w:rsidRPr="00305162" w:rsidRDefault="00305162" w:rsidP="00305162">
      <w:pPr>
        <w:spacing w:line="240" w:lineRule="auto"/>
        <w:rPr>
          <w:rFonts w:eastAsia="Times New Roman" w:cs="Times New Roman"/>
          <w:szCs w:val="24"/>
          <w:lang w:val="es-CO" w:eastAsia="es-ES"/>
        </w:rPr>
      </w:pPr>
    </w:p>
    <w:p w14:paraId="04F4D6CB" w14:textId="77777777" w:rsidR="00305162" w:rsidRPr="00305162" w:rsidRDefault="00305162" w:rsidP="00305162">
      <w:pPr>
        <w:spacing w:line="240" w:lineRule="auto"/>
        <w:jc w:val="center"/>
        <w:rPr>
          <w:rFonts w:eastAsia="Times New Roman" w:cs="Times New Roman"/>
          <w:szCs w:val="24"/>
          <w:lang w:eastAsia="es-ES"/>
        </w:rPr>
      </w:pPr>
      <w:r w:rsidRPr="00305162">
        <w:rPr>
          <w:rFonts w:eastAsia="Times New Roman" w:cs="Times New Roman"/>
          <w:b/>
          <w:bCs/>
          <w:szCs w:val="24"/>
          <w:lang w:val="es-CO" w:eastAsia="es-ES"/>
        </w:rPr>
        <w:t xml:space="preserve">OFICIO </w:t>
      </w:r>
      <w:proofErr w:type="spellStart"/>
      <w:r w:rsidRPr="00305162">
        <w:rPr>
          <w:rFonts w:eastAsia="Times New Roman" w:cs="Times New Roman"/>
          <w:b/>
          <w:bCs/>
          <w:szCs w:val="24"/>
          <w:lang w:val="es-CO" w:eastAsia="es-ES"/>
        </w:rPr>
        <w:t>Nº</w:t>
      </w:r>
      <w:proofErr w:type="spellEnd"/>
      <w:r w:rsidRPr="00305162">
        <w:rPr>
          <w:rFonts w:eastAsia="Times New Roman" w:cs="Times New Roman"/>
          <w:b/>
          <w:bCs/>
          <w:szCs w:val="24"/>
          <w:lang w:val="es-CO" w:eastAsia="es-ES"/>
        </w:rPr>
        <w:t xml:space="preserve"> 0194 [900232]</w:t>
      </w:r>
    </w:p>
    <w:p w14:paraId="3FE0D4FB" w14:textId="77777777" w:rsidR="00305162" w:rsidRPr="00305162" w:rsidRDefault="00305162" w:rsidP="00305162">
      <w:pPr>
        <w:spacing w:line="240" w:lineRule="auto"/>
        <w:jc w:val="center"/>
        <w:rPr>
          <w:rFonts w:eastAsia="Times New Roman" w:cs="Times New Roman"/>
          <w:szCs w:val="24"/>
          <w:lang w:eastAsia="es-ES"/>
        </w:rPr>
      </w:pPr>
      <w:r w:rsidRPr="00305162">
        <w:rPr>
          <w:rFonts w:eastAsia="Times New Roman" w:cs="Times New Roman"/>
          <w:b/>
          <w:bCs/>
          <w:szCs w:val="24"/>
          <w:lang w:val="es-CO" w:eastAsia="es-ES"/>
        </w:rPr>
        <w:t>21-02-2020</w:t>
      </w:r>
    </w:p>
    <w:p w14:paraId="2F57739B" w14:textId="77777777" w:rsidR="00305162" w:rsidRPr="00305162" w:rsidRDefault="00305162" w:rsidP="00305162">
      <w:pPr>
        <w:spacing w:line="240" w:lineRule="auto"/>
        <w:jc w:val="center"/>
        <w:rPr>
          <w:rFonts w:eastAsia="Times New Roman" w:cs="Times New Roman"/>
          <w:szCs w:val="24"/>
          <w:lang w:eastAsia="es-ES"/>
        </w:rPr>
      </w:pPr>
      <w:r w:rsidRPr="00305162">
        <w:rPr>
          <w:rFonts w:eastAsia="Times New Roman" w:cs="Times New Roman"/>
          <w:b/>
          <w:bCs/>
          <w:szCs w:val="24"/>
          <w:lang w:val="es-CO" w:eastAsia="es-ES"/>
        </w:rPr>
        <w:t>DIAN</w:t>
      </w:r>
    </w:p>
    <w:p w14:paraId="48FAD3A8"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59969F68"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026E4EA6"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Subdirección de Gestión Normativa y Doctrina</w:t>
      </w:r>
    </w:p>
    <w:p w14:paraId="5CCBDF10"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100208221-000194</w:t>
      </w:r>
    </w:p>
    <w:p w14:paraId="143961D4"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Bogotá, D.C.</w:t>
      </w:r>
    </w:p>
    <w:p w14:paraId="786AB38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3076B7CF" w14:textId="77777777" w:rsidR="00305162" w:rsidRPr="00305162" w:rsidRDefault="00305162" w:rsidP="00305162">
      <w:pPr>
        <w:spacing w:line="240" w:lineRule="auto"/>
        <w:rPr>
          <w:rFonts w:eastAsia="Times New Roman" w:cs="Times New Roman"/>
          <w:szCs w:val="24"/>
          <w:lang w:eastAsia="es-ES"/>
        </w:rPr>
      </w:pPr>
      <w:proofErr w:type="spellStart"/>
      <w:r w:rsidRPr="00305162">
        <w:rPr>
          <w:rFonts w:eastAsia="Times New Roman" w:cs="Times New Roman"/>
          <w:b/>
          <w:bCs/>
          <w:szCs w:val="24"/>
          <w:lang w:val="es-CO" w:eastAsia="es-ES"/>
        </w:rPr>
        <w:t>Ref</w:t>
      </w:r>
      <w:proofErr w:type="spellEnd"/>
      <w:r w:rsidRPr="00305162">
        <w:rPr>
          <w:rFonts w:eastAsia="Times New Roman" w:cs="Times New Roman"/>
          <w:b/>
          <w:bCs/>
          <w:szCs w:val="24"/>
          <w:lang w:val="es-CO" w:eastAsia="es-ES"/>
        </w:rPr>
        <w:t>:</w:t>
      </w:r>
      <w:r w:rsidRPr="00305162">
        <w:rPr>
          <w:rFonts w:eastAsia="Times New Roman" w:cs="Times New Roman"/>
          <w:szCs w:val="24"/>
          <w:lang w:val="es-CO" w:eastAsia="es-ES"/>
        </w:rPr>
        <w:t> Radicado 100092509 del 18/10/2019</w:t>
      </w:r>
    </w:p>
    <w:p w14:paraId="557651A5"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969"/>
        <w:gridCol w:w="276"/>
        <w:gridCol w:w="276"/>
        <w:gridCol w:w="6755"/>
      </w:tblGrid>
      <w:tr w:rsidR="00305162" w:rsidRPr="00305162" w14:paraId="644A2B3A" w14:textId="77777777" w:rsidTr="00305162">
        <w:tc>
          <w:tcPr>
            <w:tcW w:w="0" w:type="auto"/>
            <w:tcBorders>
              <w:top w:val="nil"/>
              <w:left w:val="nil"/>
              <w:bottom w:val="nil"/>
              <w:right w:val="nil"/>
            </w:tcBorders>
            <w:shd w:val="clear" w:color="auto" w:fill="auto"/>
            <w:tcMar>
              <w:top w:w="0" w:type="dxa"/>
              <w:left w:w="108" w:type="dxa"/>
              <w:bottom w:w="0" w:type="dxa"/>
              <w:right w:w="108" w:type="dxa"/>
            </w:tcMar>
            <w:hideMark/>
          </w:tcPr>
          <w:p w14:paraId="372711C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Tema</w:t>
            </w:r>
          </w:p>
          <w:p w14:paraId="70E24CF8"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4AFB716"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40F9D89"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61B62BD"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Procedimiento Tributario</w:t>
            </w:r>
          </w:p>
          <w:p w14:paraId="13A7E1ED"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Impuesto a las ventas</w:t>
            </w:r>
          </w:p>
          <w:p w14:paraId="2A92FEE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Impuesto sobre la Renta y Complementarios</w:t>
            </w:r>
          </w:p>
        </w:tc>
      </w:tr>
      <w:tr w:rsidR="00305162" w:rsidRPr="00305162" w14:paraId="7D82A544" w14:textId="77777777" w:rsidTr="00305162">
        <w:tc>
          <w:tcPr>
            <w:tcW w:w="0" w:type="auto"/>
            <w:tcBorders>
              <w:top w:val="nil"/>
              <w:left w:val="nil"/>
              <w:bottom w:val="nil"/>
              <w:right w:val="nil"/>
            </w:tcBorders>
            <w:shd w:val="clear" w:color="auto" w:fill="auto"/>
            <w:tcMar>
              <w:top w:w="0" w:type="dxa"/>
              <w:left w:w="108" w:type="dxa"/>
              <w:bottom w:w="0" w:type="dxa"/>
              <w:right w:w="108" w:type="dxa"/>
            </w:tcMar>
            <w:hideMark/>
          </w:tcPr>
          <w:p w14:paraId="0C693035"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Descriptores</w:t>
            </w:r>
          </w:p>
          <w:p w14:paraId="3A6B1674"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94938A2"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90E662F"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872EFE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Factura - Requisitos</w:t>
            </w:r>
          </w:p>
          <w:p w14:paraId="7C6AD1D9"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Documentos Sustitutivos de la Factura</w:t>
            </w:r>
          </w:p>
          <w:p w14:paraId="29017CF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No Responsables del Impuesto Sobre las Ventas</w:t>
            </w:r>
          </w:p>
          <w:p w14:paraId="3924422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Determinación de Costos Estimados</w:t>
            </w:r>
          </w:p>
          <w:p w14:paraId="3F09FED9"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Determinación de Costos Presuntos</w:t>
            </w:r>
          </w:p>
        </w:tc>
      </w:tr>
      <w:tr w:rsidR="00305162" w:rsidRPr="00305162" w14:paraId="485B511E" w14:textId="77777777" w:rsidTr="00305162">
        <w:tc>
          <w:tcPr>
            <w:tcW w:w="0" w:type="auto"/>
            <w:tcBorders>
              <w:top w:val="nil"/>
              <w:left w:val="nil"/>
              <w:bottom w:val="nil"/>
              <w:right w:val="nil"/>
            </w:tcBorders>
            <w:shd w:val="clear" w:color="auto" w:fill="auto"/>
            <w:tcMar>
              <w:top w:w="0" w:type="dxa"/>
              <w:left w:w="108" w:type="dxa"/>
              <w:bottom w:w="0" w:type="dxa"/>
              <w:right w:w="108" w:type="dxa"/>
            </w:tcMar>
            <w:hideMark/>
          </w:tcPr>
          <w:p w14:paraId="180B2B20"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Fuentes formales</w:t>
            </w:r>
          </w:p>
          <w:p w14:paraId="7F822331"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E8D145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5518201"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2F52FA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Artículos </w:t>
            </w:r>
            <w:hyperlink r:id="rId4" w:tooltip="Estatuto Tributario CETA" w:history="1">
              <w:r w:rsidRPr="00305162">
                <w:rPr>
                  <w:rFonts w:eastAsia="Times New Roman" w:cs="Times New Roman"/>
                  <w:szCs w:val="24"/>
                  <w:u w:val="single"/>
                  <w:lang w:val="es-CO" w:eastAsia="es-ES"/>
                </w:rPr>
                <w:t>82</w:t>
              </w:r>
            </w:hyperlink>
            <w:r w:rsidRPr="00305162">
              <w:rPr>
                <w:rFonts w:eastAsia="Times New Roman" w:cs="Times New Roman"/>
                <w:szCs w:val="24"/>
                <w:lang w:val="es-CO" w:eastAsia="es-ES"/>
              </w:rPr>
              <w:t>, </w:t>
            </w:r>
            <w:hyperlink r:id="rId5" w:tooltip="Estatuto Tributario CETA" w:history="1">
              <w:r w:rsidRPr="00305162">
                <w:rPr>
                  <w:rFonts w:eastAsia="Times New Roman" w:cs="Times New Roman"/>
                  <w:szCs w:val="24"/>
                  <w:u w:val="single"/>
                  <w:lang w:val="es-CO" w:eastAsia="es-ES"/>
                </w:rPr>
                <w:t>617</w:t>
              </w:r>
            </w:hyperlink>
            <w:r w:rsidRPr="00305162">
              <w:rPr>
                <w:rFonts w:eastAsia="Times New Roman" w:cs="Times New Roman"/>
                <w:szCs w:val="24"/>
                <w:lang w:val="es-CO" w:eastAsia="es-ES"/>
              </w:rPr>
              <w:t> y </w:t>
            </w:r>
            <w:hyperlink r:id="rId6" w:tooltip="Estatuto Tributario CETA" w:history="1">
              <w:r w:rsidRPr="00305162">
                <w:rPr>
                  <w:rFonts w:eastAsia="Times New Roman" w:cs="Times New Roman"/>
                  <w:szCs w:val="24"/>
                  <w:u w:val="single"/>
                  <w:lang w:val="es-CO" w:eastAsia="es-ES"/>
                </w:rPr>
                <w:t>771-2</w:t>
              </w:r>
            </w:hyperlink>
            <w:r w:rsidRPr="00305162">
              <w:rPr>
                <w:rFonts w:eastAsia="Times New Roman" w:cs="Times New Roman"/>
                <w:szCs w:val="24"/>
                <w:lang w:val="es-CO" w:eastAsia="es-ES"/>
              </w:rPr>
              <w:t> del Estatuto Tributario.</w:t>
            </w:r>
          </w:p>
          <w:p w14:paraId="733160C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Artículo 1.6.1.4.44 del Decreto Único Reglamentario 1625 de 2016.</w:t>
            </w:r>
          </w:p>
        </w:tc>
      </w:tr>
    </w:tbl>
    <w:p w14:paraId="7243D206"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2EDD2020"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74262D7C"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Cordial saludo, señora María Consuelo.</w:t>
      </w:r>
    </w:p>
    <w:p w14:paraId="77ABE149"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17EE957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6E80DD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7F68636C"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Mediante el radicado de la referencia, la peticionaria eleva dos preguntas, las cuales serán resueltas a continuación por este Despacho en el orden que fueron propuestas:</w:t>
      </w:r>
    </w:p>
    <w:p w14:paraId="62BB1068"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3D714E75"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¿Cuáles son los requisitos que deben tener los documentos para soportar la procedencia de costos, descuentos y deducciones por compras realizadas a un no obligado a facturar?</w:t>
      </w:r>
    </w:p>
    <w:p w14:paraId="3EDBAED4"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 </w:t>
      </w:r>
    </w:p>
    <w:p w14:paraId="0CCECA12"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En relación con los documentos soporte de las operaciones, el </w:t>
      </w:r>
      <w:hyperlink r:id="rId7" w:tooltip="Estatuto Tributario CETA" w:history="1">
        <w:r w:rsidRPr="00305162">
          <w:rPr>
            <w:rFonts w:eastAsia="Times New Roman" w:cs="Times New Roman"/>
            <w:szCs w:val="24"/>
            <w:u w:val="single"/>
            <w:lang w:val="es-CO" w:eastAsia="es-ES"/>
          </w:rPr>
          <w:t>artículo 771-2</w:t>
        </w:r>
      </w:hyperlink>
      <w:r w:rsidRPr="00305162">
        <w:rPr>
          <w:rFonts w:eastAsia="Times New Roman" w:cs="Times New Roman"/>
          <w:szCs w:val="24"/>
          <w:lang w:val="es-CO" w:eastAsia="es-ES"/>
        </w:rPr>
        <w:t> del Estatuto Tributario establece los requisitos para la procedencia de costos, deducciones e impuestos descontables, así:</w:t>
      </w:r>
    </w:p>
    <w:p w14:paraId="742AB9D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2628CB92" w14:textId="77777777" w:rsidR="00305162" w:rsidRPr="00305162" w:rsidRDefault="00305162" w:rsidP="00305162">
      <w:pPr>
        <w:spacing w:line="240" w:lineRule="auto"/>
        <w:ind w:left="284"/>
        <w:rPr>
          <w:rFonts w:eastAsia="Times New Roman" w:cs="Times New Roman"/>
          <w:szCs w:val="24"/>
          <w:lang w:eastAsia="es-ES"/>
        </w:rPr>
      </w:pPr>
      <w:hyperlink r:id="rId8" w:tooltip="Estatuto Tributario CETA" w:history="1">
        <w:r w:rsidRPr="00305162">
          <w:rPr>
            <w:rFonts w:eastAsia="Times New Roman" w:cs="Times New Roman"/>
            <w:b/>
            <w:bCs/>
            <w:i/>
            <w:iCs/>
            <w:szCs w:val="24"/>
            <w:u w:val="single"/>
            <w:lang w:val="es-CO" w:eastAsia="es-ES"/>
          </w:rPr>
          <w:t>Artículo 771-2</w:t>
        </w:r>
      </w:hyperlink>
      <w:r w:rsidRPr="00305162">
        <w:rPr>
          <w:rFonts w:eastAsia="Times New Roman" w:cs="Times New Roman"/>
          <w:b/>
          <w:bCs/>
          <w:i/>
          <w:iCs/>
          <w:szCs w:val="24"/>
          <w:lang w:val="es-CO" w:eastAsia="es-ES"/>
        </w:rPr>
        <w:t>.</w:t>
      </w:r>
      <w:r w:rsidRPr="00305162">
        <w:rPr>
          <w:rFonts w:eastAsia="Times New Roman" w:cs="Times New Roman"/>
          <w:i/>
          <w:iCs/>
          <w:szCs w:val="24"/>
          <w:lang w:val="es-CO" w:eastAsia="es-ES"/>
        </w:rPr>
        <w:t> </w:t>
      </w:r>
      <w:r w:rsidRPr="00305162">
        <w:rPr>
          <w:rFonts w:eastAsia="Times New Roman" w:cs="Times New Roman"/>
          <w:b/>
          <w:bCs/>
          <w:i/>
          <w:iCs/>
          <w:szCs w:val="24"/>
          <w:lang w:val="es-CO" w:eastAsia="es-ES"/>
        </w:rPr>
        <w:t>Procedencia de costos, deducciones e impuestos descontables.</w:t>
      </w:r>
      <w:r w:rsidRPr="00305162">
        <w:rPr>
          <w:rFonts w:eastAsia="Times New Roman" w:cs="Times New Roman"/>
          <w:i/>
          <w:iCs/>
          <w:szCs w:val="24"/>
          <w:lang w:val="es-CO" w:eastAsia="es-ES"/>
        </w:rPr>
        <w:t> Para la procedencia de costos y deducciones en el impuesto sobre la renta, así como de los impuestos descontables en el impuesto sobre las ventas, se requerirá de facturas con el cumplimiento de los requisitos establecidos en los literales b), c), d), e), f) y g) del artículo </w:t>
      </w:r>
      <w:hyperlink r:id="rId9" w:tooltip="Estatuto Tributario CETA" w:history="1">
        <w:r w:rsidRPr="00305162">
          <w:rPr>
            <w:rFonts w:eastAsia="Times New Roman" w:cs="Times New Roman"/>
            <w:i/>
            <w:iCs/>
            <w:szCs w:val="24"/>
            <w:u w:val="single"/>
            <w:lang w:val="es-CO" w:eastAsia="es-ES"/>
          </w:rPr>
          <w:t>617</w:t>
        </w:r>
      </w:hyperlink>
      <w:r w:rsidRPr="00305162">
        <w:rPr>
          <w:rFonts w:eastAsia="Times New Roman" w:cs="Times New Roman"/>
          <w:i/>
          <w:iCs/>
          <w:szCs w:val="24"/>
          <w:lang w:val="es-CO" w:eastAsia="es-ES"/>
        </w:rPr>
        <w:t> y </w:t>
      </w:r>
      <w:hyperlink r:id="rId10" w:tooltip="Estatuto Tributario CETA" w:history="1">
        <w:r w:rsidRPr="00305162">
          <w:rPr>
            <w:rFonts w:eastAsia="Times New Roman" w:cs="Times New Roman"/>
            <w:i/>
            <w:iCs/>
            <w:szCs w:val="24"/>
            <w:u w:val="single"/>
            <w:lang w:val="es-CO" w:eastAsia="es-ES"/>
          </w:rPr>
          <w:t>618 </w:t>
        </w:r>
      </w:hyperlink>
      <w:r w:rsidRPr="00305162">
        <w:rPr>
          <w:rFonts w:eastAsia="Times New Roman" w:cs="Times New Roman"/>
          <w:i/>
          <w:iCs/>
          <w:szCs w:val="24"/>
          <w:lang w:val="es-CO" w:eastAsia="es-ES"/>
        </w:rPr>
        <w:t>del Estatuto Tributario.</w:t>
      </w:r>
    </w:p>
    <w:p w14:paraId="06165EC2"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233DED3A"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Tratándose de documentos equivalentes se deberán cumplir los requisitos contenidos en los literales b), d) e) y g) del </w:t>
      </w:r>
      <w:hyperlink r:id="rId11" w:tooltip="Estatuto Tributario CETA" w:history="1">
        <w:r w:rsidRPr="00305162">
          <w:rPr>
            <w:rFonts w:eastAsia="Times New Roman" w:cs="Times New Roman"/>
            <w:i/>
            <w:iCs/>
            <w:szCs w:val="24"/>
            <w:u w:val="single"/>
            <w:lang w:val="es-CO" w:eastAsia="es-ES"/>
          </w:rPr>
          <w:t>artículo 617</w:t>
        </w:r>
      </w:hyperlink>
      <w:r w:rsidRPr="00305162">
        <w:rPr>
          <w:rFonts w:eastAsia="Times New Roman" w:cs="Times New Roman"/>
          <w:i/>
          <w:iCs/>
          <w:szCs w:val="24"/>
          <w:lang w:val="es-CO" w:eastAsia="es-ES"/>
        </w:rPr>
        <w:t> del Estatuto Tributario.</w:t>
      </w:r>
    </w:p>
    <w:p w14:paraId="19C29F1E"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5A5EFB98"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u w:val="single"/>
          <w:lang w:val="es-CO" w:eastAsia="es-ES"/>
        </w:rPr>
        <w:t>Cuando no exista la obligación de expedir factura o documento equivalente, el documento que pruebe la respectiva transacción que da lugar a costos, deducciones o impuestos descontables, deberá cumplir los requisitos mínimos que el gobierno nacional establezca.</w:t>
      </w:r>
    </w:p>
    <w:p w14:paraId="08E6CAD1"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18FF6A2D"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lastRenderedPageBreak/>
        <w:t>/.../” (Subrayado fuera de texto)</w:t>
      </w:r>
    </w:p>
    <w:p w14:paraId="1999074F"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1EBA15B4"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El anterior artículo, en el inciso tercero, se refiere explícitamente a la prueba que tiene lugar para efectos de sustentar los costos y gastos, </w:t>
      </w:r>
      <w:r w:rsidRPr="00305162">
        <w:rPr>
          <w:rFonts w:eastAsia="Times New Roman" w:cs="Times New Roman"/>
          <w:b/>
          <w:bCs/>
          <w:szCs w:val="24"/>
          <w:lang w:val="es-CO" w:eastAsia="es-ES"/>
        </w:rPr>
        <w:t>cuando el vendedor no tenga la obligación de expedir factura o documento equivalente</w:t>
      </w:r>
      <w:r w:rsidRPr="00305162">
        <w:rPr>
          <w:rFonts w:eastAsia="Times New Roman" w:cs="Times New Roman"/>
          <w:szCs w:val="24"/>
          <w:lang w:val="es-CO" w:eastAsia="es-ES"/>
        </w:rPr>
        <w:t>, el cual fue reglamentado de la siguiente forma por el Gobierno nacional:</w:t>
      </w:r>
    </w:p>
    <w:p w14:paraId="63DF501D"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09114B72"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lang w:val="es-CO" w:eastAsia="es-ES"/>
        </w:rPr>
        <w:t>“Artículo 1.6.1.4.44. Requisitos para la procedencia de costos, deducciones e impuestos descontables por operaciones realizadas con no obligados a facturar.</w:t>
      </w:r>
      <w:r w:rsidRPr="00305162">
        <w:rPr>
          <w:rFonts w:eastAsia="Times New Roman" w:cs="Times New Roman"/>
          <w:i/>
          <w:iCs/>
          <w:szCs w:val="24"/>
          <w:lang w:val="es-CO" w:eastAsia="es-ES"/>
        </w:rPr>
        <w:t> De conformidad con lo estipulado en el inciso 3° del </w:t>
      </w:r>
      <w:hyperlink r:id="rId12" w:tooltip="Estatuto Tributario CETA" w:history="1">
        <w:r w:rsidRPr="00305162">
          <w:rPr>
            <w:rFonts w:eastAsia="Times New Roman" w:cs="Times New Roman"/>
            <w:i/>
            <w:iCs/>
            <w:szCs w:val="24"/>
            <w:u w:val="single"/>
            <w:lang w:val="es-CO" w:eastAsia="es-ES"/>
          </w:rPr>
          <w:t>artículo 771-2</w:t>
        </w:r>
      </w:hyperlink>
      <w:r w:rsidRPr="00305162">
        <w:rPr>
          <w:rFonts w:eastAsia="Times New Roman" w:cs="Times New Roman"/>
          <w:i/>
          <w:iCs/>
          <w:szCs w:val="24"/>
          <w:lang w:val="es-CO" w:eastAsia="es-ES"/>
        </w:rPr>
        <w:t> del Estatuto Tributario, el documento soporte para la procedencia de costos, </w:t>
      </w:r>
      <w:r w:rsidRPr="00305162">
        <w:rPr>
          <w:rFonts w:eastAsia="Times New Roman" w:cs="Times New Roman"/>
          <w:i/>
          <w:iCs/>
          <w:szCs w:val="24"/>
          <w:u w:val="single"/>
          <w:lang w:val="es-CO" w:eastAsia="es-ES"/>
        </w:rPr>
        <w:t>deducciones e impuestos descontables por operaciones realizadas con personas no obligadas a expedir facturas o documento equivalente,</w:t>
      </w:r>
      <w:r w:rsidRPr="00305162">
        <w:rPr>
          <w:rFonts w:eastAsia="Times New Roman" w:cs="Times New Roman"/>
          <w:i/>
          <w:iCs/>
          <w:szCs w:val="24"/>
          <w:lang w:val="es-CO" w:eastAsia="es-ES"/>
        </w:rPr>
        <w:t> </w:t>
      </w:r>
      <w:r w:rsidRPr="00305162">
        <w:rPr>
          <w:rFonts w:eastAsia="Times New Roman" w:cs="Times New Roman"/>
          <w:b/>
          <w:bCs/>
          <w:i/>
          <w:iCs/>
          <w:szCs w:val="24"/>
          <w:lang w:val="es-CO" w:eastAsia="es-ES"/>
        </w:rPr>
        <w:t>será el expedido por el vendedor o por el adquirente del bien y/o servicio, y deberá reunir los siguientes requisitos:</w:t>
      </w:r>
    </w:p>
    <w:p w14:paraId="7787FEE5"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374A9705"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1. Apellidos y nombre o razón social y NIT de la persona o entidad beneficiaria del pago o abono.</w:t>
      </w:r>
    </w:p>
    <w:p w14:paraId="43907029"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172BAA77"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2. Fecha de la transacción</w:t>
      </w:r>
    </w:p>
    <w:p w14:paraId="01375B58"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43B7F6B7"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3. Concepto</w:t>
      </w:r>
    </w:p>
    <w:p w14:paraId="0380A9B8"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79FBB19C"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4. Valor de la operación</w:t>
      </w:r>
    </w:p>
    <w:p w14:paraId="47D9AF99"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0532593A"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r w:rsidRPr="00305162">
        <w:rPr>
          <w:rFonts w:eastAsia="Times New Roman" w:cs="Times New Roman"/>
          <w:szCs w:val="24"/>
          <w:lang w:val="es-CO" w:eastAsia="es-ES"/>
        </w:rPr>
        <w:t>(Subrayado y resaltado fuera de texto)</w:t>
      </w:r>
    </w:p>
    <w:p w14:paraId="7795B4F9"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454CA96C"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Ahora bien, nótese que existen ciertas disposiciones normativas que establecen quiénes deben inscribirse en el RUT, así como la obligación de solicitar dicho documento. En efecto, de conformidad con el </w:t>
      </w:r>
      <w:hyperlink r:id="rId13" w:tooltip="Estatuto Tributario CETA" w:history="1">
        <w:r w:rsidRPr="00305162">
          <w:rPr>
            <w:rFonts w:eastAsia="Times New Roman" w:cs="Times New Roman"/>
            <w:szCs w:val="24"/>
            <w:u w:val="single"/>
            <w:lang w:val="es-CO" w:eastAsia="es-ES"/>
          </w:rPr>
          <w:t>artículo 177-2</w:t>
        </w:r>
      </w:hyperlink>
      <w:r w:rsidRPr="00305162">
        <w:rPr>
          <w:rFonts w:eastAsia="Times New Roman" w:cs="Times New Roman"/>
          <w:szCs w:val="24"/>
          <w:lang w:val="es-CO" w:eastAsia="es-ES"/>
        </w:rPr>
        <w:t> del Estatuto Tributario, los adquirentes de bienes y servicios deberán exigir y conservar una copia del RUT de sus proveedores no responsables del impuesto para efectos de que sean aceptados los costos y gastos </w:t>
      </w:r>
      <w:r w:rsidRPr="00305162">
        <w:rPr>
          <w:rFonts w:eastAsia="Times New Roman" w:cs="Times New Roman"/>
          <w:b/>
          <w:bCs/>
          <w:szCs w:val="24"/>
          <w:lang w:val="es-CO" w:eastAsia="es-ES"/>
        </w:rPr>
        <w:t>por pagos de operaciones gravadas con IVA</w:t>
      </w:r>
      <w:r w:rsidRPr="00305162">
        <w:rPr>
          <w:rFonts w:eastAsia="Times New Roman" w:cs="Times New Roman"/>
          <w:szCs w:val="24"/>
          <w:lang w:val="es-CO" w:eastAsia="es-ES"/>
        </w:rPr>
        <w:t> , así:</w:t>
      </w:r>
    </w:p>
    <w:p w14:paraId="290C5C8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5A46FED6"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lang w:val="es-CO" w:eastAsia="es-ES"/>
        </w:rPr>
        <w:t>“</w:t>
      </w:r>
      <w:hyperlink r:id="rId14" w:tooltip="Estatuto Tributario CETA" w:history="1">
        <w:r w:rsidRPr="00305162">
          <w:rPr>
            <w:rFonts w:eastAsia="Times New Roman" w:cs="Times New Roman"/>
            <w:b/>
            <w:bCs/>
            <w:i/>
            <w:iCs/>
            <w:szCs w:val="24"/>
            <w:u w:val="single"/>
            <w:lang w:val="es-CO" w:eastAsia="es-ES"/>
          </w:rPr>
          <w:t>ARTÍCULO 177-2</w:t>
        </w:r>
      </w:hyperlink>
      <w:r w:rsidRPr="00305162">
        <w:rPr>
          <w:rFonts w:eastAsia="Times New Roman" w:cs="Times New Roman"/>
          <w:b/>
          <w:bCs/>
          <w:i/>
          <w:iCs/>
          <w:szCs w:val="24"/>
          <w:lang w:val="es-CO" w:eastAsia="es-ES"/>
        </w:rPr>
        <w:t>. NO ACEPTACIÓN DE COSTOS Y GASTOS.</w:t>
      </w:r>
      <w:r w:rsidRPr="00305162">
        <w:rPr>
          <w:rFonts w:eastAsia="Times New Roman" w:cs="Times New Roman"/>
          <w:i/>
          <w:iCs/>
          <w:szCs w:val="24"/>
          <w:lang w:val="es-CO" w:eastAsia="es-ES"/>
        </w:rPr>
        <w:t> No son aceptados como costo o gasto los siguientes pagos por concepto de operaciones gravadas con el IVA:</w:t>
      </w:r>
    </w:p>
    <w:p w14:paraId="70AB3660"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7351EA85"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w:t>
      </w:r>
    </w:p>
    <w:p w14:paraId="289EF504"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lang w:val="es-CO" w:eastAsia="es-ES"/>
        </w:rPr>
        <w:t> </w:t>
      </w:r>
    </w:p>
    <w:p w14:paraId="752A684D"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u w:val="single"/>
          <w:lang w:val="es-CO" w:eastAsia="es-ES"/>
        </w:rPr>
        <w:t>Sin perjuicio de lo previsto en los literales a) y b) de este artículo, la obligación de exigir y conservar la constancia de inscripción del responsable del Régimen Simplificado (no responsable) en el RUT, operará a partir de la fecha que establezca el reglamento a que se refiere el </w:t>
      </w:r>
      <w:hyperlink r:id="rId15" w:tooltip="Estatuto Tributario CETA" w:history="1">
        <w:r w:rsidRPr="00305162">
          <w:rPr>
            <w:rFonts w:eastAsia="Times New Roman" w:cs="Times New Roman"/>
            <w:b/>
            <w:bCs/>
            <w:i/>
            <w:iCs/>
            <w:szCs w:val="24"/>
            <w:u w:val="single"/>
            <w:lang w:val="es-CO" w:eastAsia="es-ES"/>
          </w:rPr>
          <w:t>artículo 555-2</w:t>
        </w:r>
      </w:hyperlink>
      <w:r w:rsidRPr="00305162">
        <w:rPr>
          <w:rFonts w:eastAsia="Times New Roman" w:cs="Times New Roman"/>
          <w:b/>
          <w:bCs/>
          <w:i/>
          <w:iCs/>
          <w:szCs w:val="24"/>
          <w:u w:val="single"/>
          <w:lang w:val="es-CO" w:eastAsia="es-ES"/>
        </w:rPr>
        <w:t>.</w:t>
      </w:r>
    </w:p>
    <w:p w14:paraId="76F0479B"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7AF80C67"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En el mismo sentido, el parágrafo 3 del </w:t>
      </w:r>
      <w:hyperlink r:id="rId16" w:tooltip="Estatuto Tributario CETA" w:history="1">
        <w:r w:rsidRPr="00305162">
          <w:rPr>
            <w:rFonts w:eastAsia="Times New Roman" w:cs="Times New Roman"/>
            <w:szCs w:val="24"/>
            <w:u w:val="single"/>
            <w:lang w:val="es-CO" w:eastAsia="es-ES"/>
          </w:rPr>
          <w:t>artículo 437</w:t>
        </w:r>
      </w:hyperlink>
      <w:r w:rsidRPr="00305162">
        <w:rPr>
          <w:rFonts w:eastAsia="Times New Roman" w:cs="Times New Roman"/>
          <w:szCs w:val="24"/>
          <w:lang w:val="es-CO" w:eastAsia="es-ES"/>
        </w:rPr>
        <w:t> del Estatuto Tributario dispone:</w:t>
      </w:r>
    </w:p>
    <w:p w14:paraId="1900B871"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4BB0859E"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lang w:val="es-CO" w:eastAsia="es-ES"/>
        </w:rPr>
        <w:t>“PARÁGRAFO 3o. (...)</w:t>
      </w:r>
    </w:p>
    <w:p w14:paraId="4E02CB9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i/>
          <w:iCs/>
          <w:szCs w:val="24"/>
          <w:lang w:val="es-CO" w:eastAsia="es-ES"/>
        </w:rPr>
        <w:t> </w:t>
      </w:r>
    </w:p>
    <w:p w14:paraId="5C48A3B0"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u w:val="single"/>
          <w:lang w:val="es-CO" w:eastAsia="es-ES"/>
        </w:rPr>
        <w:t>Cuando los no responsables realicen operaciones con los responsables del impuesto deberán registrar en el Registro Único Tributario (RUT) su condición de tales y entregar copia del mismo al adquirente de los bienes o servicios, en los términos señalados en el reglamento.</w:t>
      </w:r>
    </w:p>
    <w:p w14:paraId="69BC763E"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7E112A85"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xml:space="preserve">(...) </w:t>
      </w:r>
      <w:proofErr w:type="gramStart"/>
      <w:r w:rsidRPr="00305162">
        <w:rPr>
          <w:rFonts w:eastAsia="Times New Roman" w:cs="Times New Roman"/>
          <w:i/>
          <w:iCs/>
          <w:szCs w:val="24"/>
          <w:lang w:val="es-CO" w:eastAsia="es-ES"/>
        </w:rPr>
        <w:t>“</w:t>
      </w:r>
      <w:r w:rsidRPr="00305162">
        <w:rPr>
          <w:rFonts w:eastAsia="Times New Roman" w:cs="Times New Roman"/>
          <w:szCs w:val="24"/>
          <w:lang w:val="es-CO" w:eastAsia="es-ES"/>
        </w:rPr>
        <w:t> (</w:t>
      </w:r>
      <w:proofErr w:type="gramEnd"/>
      <w:r w:rsidRPr="00305162">
        <w:rPr>
          <w:rFonts w:eastAsia="Times New Roman" w:cs="Times New Roman"/>
          <w:szCs w:val="24"/>
          <w:lang w:val="es-CO" w:eastAsia="es-ES"/>
        </w:rPr>
        <w:t>Negrilla y subraya fuera de texto)</w:t>
      </w:r>
    </w:p>
    <w:p w14:paraId="7399362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57BEC670"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A su vez, el Decreto 1625 de 2016 establece que:</w:t>
      </w:r>
    </w:p>
    <w:p w14:paraId="4CCF9BE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539D490E"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lang w:val="es-CO" w:eastAsia="es-ES"/>
        </w:rPr>
        <w:t>ARTÍCULO 1.6.1.2.6.</w:t>
      </w:r>
      <w:r w:rsidRPr="00305162">
        <w:rPr>
          <w:rFonts w:eastAsia="Times New Roman" w:cs="Times New Roman"/>
          <w:i/>
          <w:iCs/>
          <w:szCs w:val="24"/>
          <w:lang w:val="es-CO" w:eastAsia="es-ES"/>
        </w:rPr>
        <w:t> </w:t>
      </w:r>
      <w:r w:rsidRPr="00305162">
        <w:rPr>
          <w:rFonts w:eastAsia="Times New Roman" w:cs="Times New Roman"/>
          <w:b/>
          <w:bCs/>
          <w:i/>
          <w:iCs/>
          <w:szCs w:val="24"/>
          <w:lang w:val="es-CO" w:eastAsia="es-ES"/>
        </w:rPr>
        <w:t>Obligados a inscribirse en el Registro Único Tributario (RUT</w:t>
      </w:r>
      <w:r w:rsidRPr="00305162">
        <w:rPr>
          <w:rFonts w:eastAsia="Times New Roman" w:cs="Times New Roman"/>
          <w:i/>
          <w:iCs/>
          <w:szCs w:val="24"/>
          <w:lang w:val="es-CO" w:eastAsia="es-ES"/>
        </w:rPr>
        <w:t>). Están obligados a inscribirse en el Registro Único Tributario (RUT):</w:t>
      </w:r>
    </w:p>
    <w:p w14:paraId="54089140"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67B9250E"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w:t>
      </w:r>
    </w:p>
    <w:p w14:paraId="44CF7E00"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67219FC3"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u w:val="single"/>
          <w:lang w:val="es-CO" w:eastAsia="es-ES"/>
        </w:rPr>
        <w:lastRenderedPageBreak/>
        <w:t>g) Los responsables del impuesto sobre las ventas -IVA y no responsables del impuesto sobre las ventas -IVA;</w:t>
      </w:r>
    </w:p>
    <w:p w14:paraId="0FFAECE9"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285F5DCB"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w:t>
      </w:r>
      <w:r w:rsidRPr="00305162">
        <w:rPr>
          <w:rFonts w:eastAsia="Times New Roman" w:cs="Times New Roman"/>
          <w:szCs w:val="24"/>
          <w:lang w:val="es-CO" w:eastAsia="es-ES"/>
        </w:rPr>
        <w:t> (Negrilla y subraya fuera de texto)</w:t>
      </w:r>
    </w:p>
    <w:p w14:paraId="6D9E0298"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61D676D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De acuerdo con lo anterior, tanto los responsables como no responsables del impuesto sobre las ventas se encuentran obligados a registrarse en el RUT. En ese orden de ideas, cuando los sujetos no responsables del impuesto sobre las ventas realicen actividades gravadas con responsables del impuesto, se encontrarán obligados a estar inscritos en el RUT, indicando en la casilla correspondiente su calidad de no responsables y entregar una copia de dicho documento al adquirente de los bienes y servicios.</w:t>
      </w:r>
    </w:p>
    <w:p w14:paraId="7B9A904A"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739E53D3"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Sin perjuicio de lo anterior, cabe mencionar que actualmente se tramita un proyecto de decreto a través del cual se reglamentan, entre otras, las normas sobre facturación del Estatuto Tributario, incluido el </w:t>
      </w:r>
      <w:hyperlink r:id="rId17" w:tooltip="Estatuto Tributario CETA" w:history="1">
        <w:r w:rsidRPr="00305162">
          <w:rPr>
            <w:rFonts w:eastAsia="Times New Roman" w:cs="Times New Roman"/>
            <w:szCs w:val="24"/>
            <w:u w:val="single"/>
            <w:lang w:val="es-CO" w:eastAsia="es-ES"/>
          </w:rPr>
          <w:t>artículo 771-2</w:t>
        </w:r>
      </w:hyperlink>
      <w:r w:rsidRPr="00305162">
        <w:rPr>
          <w:rFonts w:eastAsia="Times New Roman" w:cs="Times New Roman"/>
          <w:szCs w:val="24"/>
          <w:lang w:val="es-CO" w:eastAsia="es-ES"/>
        </w:rPr>
        <w:t> aludido. Este proyecto en el artículo 1.6.1.4.12 se refiere al </w:t>
      </w:r>
      <w:r w:rsidRPr="00305162">
        <w:rPr>
          <w:rFonts w:eastAsia="Times New Roman" w:cs="Times New Roman"/>
          <w:b/>
          <w:bCs/>
          <w:i/>
          <w:iCs/>
          <w:szCs w:val="24"/>
          <w:lang w:val="es-CO" w:eastAsia="es-ES"/>
        </w:rPr>
        <w:t>“Documento soporte en adquisiciones efectuadas a sujetos no obligados a expedir factura de venta o documento equivalente”,</w:t>
      </w:r>
      <w:r w:rsidRPr="00305162">
        <w:rPr>
          <w:rFonts w:eastAsia="Times New Roman" w:cs="Times New Roman"/>
          <w:szCs w:val="24"/>
          <w:lang w:val="es-CO" w:eastAsia="es-ES"/>
        </w:rPr>
        <w:t> estableciendo su contenido y requisitos. Este proyecto se puede consultar en la página web del Ministerio de Hacienda y Crédito Público.</w:t>
      </w:r>
    </w:p>
    <w:p w14:paraId="1C02CA0E"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320E2D10"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Posibilidad de solicitar costos estimados o presuntos</w:t>
      </w:r>
    </w:p>
    <w:p w14:paraId="64E39E92"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0B472620"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Al respecto, es importante resaltar que el </w:t>
      </w:r>
      <w:hyperlink r:id="rId18" w:tooltip="Estatuto Tributario CETA" w:history="1">
        <w:r w:rsidRPr="00305162">
          <w:rPr>
            <w:rFonts w:eastAsia="Times New Roman" w:cs="Times New Roman"/>
            <w:szCs w:val="24"/>
            <w:u w:val="single"/>
            <w:lang w:val="es-CO" w:eastAsia="es-ES"/>
          </w:rPr>
          <w:t>artículo 82</w:t>
        </w:r>
      </w:hyperlink>
      <w:r w:rsidRPr="00305162">
        <w:rPr>
          <w:rFonts w:eastAsia="Times New Roman" w:cs="Times New Roman"/>
          <w:szCs w:val="24"/>
          <w:lang w:val="es-CO" w:eastAsia="es-ES"/>
        </w:rPr>
        <w:t> del Estatuto Tributario consagra los casos en que es posible aplicar la determinación de los costos presuntos o estimados, señalando:</w:t>
      </w:r>
    </w:p>
    <w:p w14:paraId="438E605B"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48136EE1"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b/>
          <w:bCs/>
          <w:i/>
          <w:iCs/>
          <w:szCs w:val="24"/>
          <w:lang w:val="es-CO" w:eastAsia="es-ES"/>
        </w:rPr>
        <w:t>“</w:t>
      </w:r>
      <w:hyperlink r:id="rId19" w:tooltip="Estatuto Tributario CETA" w:history="1">
        <w:r w:rsidRPr="00305162">
          <w:rPr>
            <w:rFonts w:eastAsia="Times New Roman" w:cs="Times New Roman"/>
            <w:b/>
            <w:bCs/>
            <w:i/>
            <w:iCs/>
            <w:szCs w:val="24"/>
            <w:u w:val="single"/>
            <w:lang w:val="es-CO" w:eastAsia="es-ES"/>
          </w:rPr>
          <w:t>ARTÍCULO 82</w:t>
        </w:r>
      </w:hyperlink>
      <w:r w:rsidRPr="00305162">
        <w:rPr>
          <w:rFonts w:eastAsia="Times New Roman" w:cs="Times New Roman"/>
          <w:b/>
          <w:bCs/>
          <w:i/>
          <w:iCs/>
          <w:szCs w:val="24"/>
          <w:lang w:val="es-CO" w:eastAsia="es-ES"/>
        </w:rPr>
        <w:t>. DETERMINACIÓN DE COSTOS ESTIMADOS Y PRESUNTOS.</w:t>
      </w:r>
      <w:r w:rsidRPr="00305162">
        <w:rPr>
          <w:rFonts w:eastAsia="Times New Roman" w:cs="Times New Roman"/>
          <w:i/>
          <w:iCs/>
          <w:szCs w:val="24"/>
          <w:lang w:val="es-CO" w:eastAsia="es-ES"/>
        </w:rPr>
        <w:t> Cuando existan indicios de que  el costo informado por el contribuyente no es real o cuando no se conozca </w:t>
      </w:r>
      <w:r w:rsidRPr="00305162">
        <w:rPr>
          <w:rFonts w:eastAsia="Times New Roman" w:cs="Times New Roman"/>
          <w:b/>
          <w:bCs/>
          <w:i/>
          <w:iCs/>
          <w:szCs w:val="24"/>
          <w:lang w:val="es-CO" w:eastAsia="es-ES"/>
        </w:rPr>
        <w:t>el costo de los activos enajenados</w:t>
      </w:r>
      <w:r w:rsidRPr="00305162">
        <w:rPr>
          <w:rFonts w:eastAsia="Times New Roman" w:cs="Times New Roman"/>
          <w:i/>
          <w:iCs/>
          <w:szCs w:val="24"/>
          <w:lang w:val="es-CO" w:eastAsia="es-ES"/>
        </w:rPr>
        <w:t> ni sea posible su determinación mediante pruebas directas, tales como las declaraciones de renta del contribuyente o de terceros, la contabilidad o los comprobantes internos o externos, el funcionario que esté adelantando el proceso de fiscalización respectivo, puede fijar un costo acorde con los incurridos durante el año o período gravable por otras personas que hayan desarrollado la misma actividad del contribuyente, o hayan hecho operaciones similares de enajenación de activos, atendiendo a los datos estadísticos producidos por la Dirección General de Impuestos Nacionales, por el Departamento Administrativo Nacional de Estadística, por el Banco de la República, por la Superintendencia de Industria y Comercio, por la Superintendencia de Sociedades u otras entidades cuyas estadísticas fueren aplicables.</w:t>
      </w:r>
    </w:p>
    <w:p w14:paraId="2C919631"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szCs w:val="24"/>
          <w:lang w:val="es-CO" w:eastAsia="es-ES"/>
        </w:rPr>
        <w:t> </w:t>
      </w:r>
    </w:p>
    <w:p w14:paraId="683B9137"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Su aplicación y discusión se hará dentro del mismo proceso.</w:t>
      </w:r>
    </w:p>
    <w:p w14:paraId="503EECC1"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 </w:t>
      </w:r>
    </w:p>
    <w:p w14:paraId="190D9908" w14:textId="77777777" w:rsidR="00305162" w:rsidRPr="00305162" w:rsidRDefault="00305162" w:rsidP="00305162">
      <w:pPr>
        <w:spacing w:line="240" w:lineRule="auto"/>
        <w:ind w:left="284"/>
        <w:rPr>
          <w:rFonts w:eastAsia="Times New Roman" w:cs="Times New Roman"/>
          <w:szCs w:val="24"/>
          <w:lang w:eastAsia="es-ES"/>
        </w:rPr>
      </w:pPr>
      <w:r w:rsidRPr="00305162">
        <w:rPr>
          <w:rFonts w:eastAsia="Times New Roman" w:cs="Times New Roman"/>
          <w:i/>
          <w:iCs/>
          <w:szCs w:val="24"/>
          <w:lang w:val="es-CO" w:eastAsia="es-ES"/>
        </w:rPr>
        <w:t>Si lo dispuesto en este artículo no resultare posible, se estimará el costo en el setenta y cinco por ciento (75%) del valor de la respectiva enajenación, sin perjuicio de las sanciones que se impongan por inexactitud de la declaración de renta o por no llevar debidamente los libros de contabilidad”.</w:t>
      </w:r>
    </w:p>
    <w:p w14:paraId="39B4977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60241FC6" w14:textId="77777777" w:rsidR="00305162" w:rsidRPr="00305162" w:rsidRDefault="00305162" w:rsidP="00305162">
      <w:pPr>
        <w:spacing w:line="240" w:lineRule="auto"/>
        <w:rPr>
          <w:rFonts w:eastAsia="Times New Roman" w:cs="Times New Roman"/>
          <w:sz w:val="36"/>
          <w:szCs w:val="36"/>
          <w:lang w:eastAsia="es-ES"/>
        </w:rPr>
      </w:pPr>
      <w:r w:rsidRPr="00305162">
        <w:rPr>
          <w:rFonts w:eastAsia="Times New Roman" w:cs="Times New Roman"/>
          <w:szCs w:val="24"/>
          <w:lang w:val="es-CO" w:eastAsia="es-ES"/>
        </w:rPr>
        <w:t>Al respecto el Consejo de Estado ha expresado que: </w:t>
      </w:r>
      <w:r w:rsidRPr="00305162">
        <w:rPr>
          <w:rFonts w:eastAsia="Times New Roman" w:cs="Times New Roman"/>
          <w:i/>
          <w:iCs/>
          <w:szCs w:val="24"/>
          <w:lang w:val="es-CO" w:eastAsia="es-ES"/>
        </w:rPr>
        <w:t>“(...) </w:t>
      </w:r>
      <w:r w:rsidRPr="00305162">
        <w:rPr>
          <w:rFonts w:eastAsia="Times New Roman" w:cs="Times New Roman"/>
          <w:b/>
          <w:bCs/>
          <w:i/>
          <w:iCs/>
          <w:szCs w:val="24"/>
          <w:lang w:val="es-CO" w:eastAsia="es-ES"/>
        </w:rPr>
        <w:t>la estimación indirecta de la norma en cita procede, únicamente, en supuestos de enajenación de activos,</w:t>
      </w:r>
      <w:r w:rsidRPr="00305162">
        <w:rPr>
          <w:rFonts w:eastAsia="Times New Roman" w:cs="Times New Roman"/>
          <w:i/>
          <w:iCs/>
          <w:szCs w:val="24"/>
          <w:lang w:val="es-CO" w:eastAsia="es-ES"/>
        </w:rPr>
        <w:t> por lo cual no sería aplicable en un caso como el actual en el que los ingresos percibidos derivan de la prestación de servicios. Este aspecto fue precisado en la sentencia de esta Sección del 25 de abril de 2016 (</w:t>
      </w:r>
      <w:proofErr w:type="spellStart"/>
      <w:r w:rsidRPr="00305162">
        <w:rPr>
          <w:rFonts w:eastAsia="Times New Roman" w:cs="Times New Roman"/>
          <w:i/>
          <w:iCs/>
          <w:szCs w:val="24"/>
          <w:lang w:val="es-CO" w:eastAsia="es-ES"/>
        </w:rPr>
        <w:t>exp</w:t>
      </w:r>
      <w:proofErr w:type="spellEnd"/>
      <w:r w:rsidRPr="00305162">
        <w:rPr>
          <w:rFonts w:eastAsia="Times New Roman" w:cs="Times New Roman"/>
          <w:i/>
          <w:iCs/>
          <w:szCs w:val="24"/>
          <w:lang w:val="es-CO" w:eastAsia="es-ES"/>
        </w:rPr>
        <w:t>. 20384, CP: Martha Teresa Briceño de Valencia). Y, en segundo lugar, que es la precisión más relevante de cara a fallar el cargo de apelación, porque </w:t>
      </w:r>
      <w:r w:rsidRPr="00305162">
        <w:rPr>
          <w:rFonts w:eastAsia="Times New Roman" w:cs="Times New Roman"/>
          <w:b/>
          <w:bCs/>
          <w:i/>
          <w:iCs/>
          <w:szCs w:val="24"/>
          <w:lang w:val="es-CO" w:eastAsia="es-ES"/>
        </w:rPr>
        <w:t>corresponde al contribuyente acreditar los costos en que incurrió con ocasión de su actividad generadora de renta y, por ende, su actividad probatoria no puede limitarse a solicitar que dicho costo se establezca mediante estimaciones indirectas.</w:t>
      </w:r>
      <w:r w:rsidRPr="00305162">
        <w:rPr>
          <w:rFonts w:eastAsia="Times New Roman" w:cs="Times New Roman"/>
          <w:i/>
          <w:iCs/>
          <w:szCs w:val="24"/>
          <w:lang w:val="es-CO" w:eastAsia="es-ES"/>
        </w:rPr>
        <w:t> </w:t>
      </w:r>
      <w:r w:rsidRPr="00305162">
        <w:rPr>
          <w:rFonts w:eastAsia="Times New Roman" w:cs="Times New Roman"/>
          <w:i/>
          <w:iCs/>
          <w:sz w:val="36"/>
          <w:szCs w:val="36"/>
          <w:highlight w:val="green"/>
          <w:lang w:val="es-CO" w:eastAsia="es-ES"/>
        </w:rPr>
        <w:t xml:space="preserve">Se insiste, tal mecanismo de estimación no es un instrumento para enervar las consecuencias que derivan de la aplicación de la regla de carga de la prueba, pues los medios de estimación indirecta no constituyen un derecho del contribuyente del que pueda servirse cada vez que, por inactividad probatoria, </w:t>
      </w:r>
      <w:r w:rsidRPr="00305162">
        <w:rPr>
          <w:rFonts w:eastAsia="Times New Roman" w:cs="Times New Roman"/>
          <w:i/>
          <w:iCs/>
          <w:sz w:val="36"/>
          <w:szCs w:val="36"/>
          <w:highlight w:val="green"/>
          <w:lang w:val="es-CO" w:eastAsia="es-ES"/>
        </w:rPr>
        <w:lastRenderedPageBreak/>
        <w:t>no logré demostrar las erogaciones relevantes asociadas a su actividad económica. En la medida en que no se discute que la demandante incumplió la carga de demostrar los factores de aminoración de la base imponible, no resulta aplicable al caso el </w:t>
      </w:r>
      <w:hyperlink r:id="rId20" w:tooltip="Estatuto Tributario CETA" w:history="1">
        <w:r w:rsidRPr="00305162">
          <w:rPr>
            <w:rFonts w:eastAsia="Times New Roman" w:cs="Times New Roman"/>
            <w:i/>
            <w:iCs/>
            <w:sz w:val="36"/>
            <w:szCs w:val="36"/>
            <w:highlight w:val="green"/>
            <w:u w:val="single"/>
            <w:lang w:val="es-CO" w:eastAsia="es-ES"/>
          </w:rPr>
          <w:t>artículo 82</w:t>
        </w:r>
      </w:hyperlink>
      <w:r w:rsidRPr="00305162">
        <w:rPr>
          <w:rFonts w:eastAsia="Times New Roman" w:cs="Times New Roman"/>
          <w:i/>
          <w:iCs/>
          <w:sz w:val="36"/>
          <w:szCs w:val="36"/>
          <w:highlight w:val="green"/>
          <w:lang w:val="es-CO" w:eastAsia="es-ES"/>
        </w:rPr>
        <w:t> del ET.</w:t>
      </w:r>
      <w:r w:rsidRPr="00305162">
        <w:rPr>
          <w:rFonts w:eastAsia="Times New Roman" w:cs="Times New Roman"/>
          <w:sz w:val="36"/>
          <w:szCs w:val="36"/>
          <w:highlight w:val="green"/>
          <w:lang w:val="es-CO" w:eastAsia="es-ES"/>
        </w:rPr>
        <w:t> </w:t>
      </w:r>
      <w:r w:rsidRPr="00305162">
        <w:rPr>
          <w:rFonts w:eastAsia="Times New Roman" w:cs="Times New Roman"/>
          <w:i/>
          <w:iCs/>
          <w:sz w:val="36"/>
          <w:szCs w:val="36"/>
          <w:highlight w:val="green"/>
          <w:lang w:val="es-CO" w:eastAsia="es-ES"/>
        </w:rPr>
        <w:t>(Negritas fuera de texto)</w:t>
      </w:r>
      <w:r w:rsidRPr="00305162">
        <w:rPr>
          <w:rFonts w:eastAsia="Times New Roman" w:cs="Times New Roman"/>
          <w:sz w:val="36"/>
          <w:szCs w:val="36"/>
          <w:highlight w:val="green"/>
          <w:lang w:val="es-CO" w:eastAsia="es-ES"/>
        </w:rPr>
        <w:t> (Sala de lo Contencioso Administrativo, Sección Cuarta, Sentencia del 25 de julio de 2017, radicación No. 2013-00861-01 (21030). Consejero Ponente: Julio Roberto Piza Rodríguez).</w:t>
      </w:r>
    </w:p>
    <w:p w14:paraId="64E3E3D1" w14:textId="77777777" w:rsidR="00305162" w:rsidRPr="00305162" w:rsidRDefault="00305162" w:rsidP="00305162">
      <w:pPr>
        <w:spacing w:line="240" w:lineRule="auto"/>
        <w:rPr>
          <w:rFonts w:eastAsia="Times New Roman" w:cs="Times New Roman"/>
          <w:sz w:val="36"/>
          <w:szCs w:val="36"/>
          <w:lang w:eastAsia="es-ES"/>
        </w:rPr>
      </w:pPr>
      <w:r w:rsidRPr="00305162">
        <w:rPr>
          <w:rFonts w:eastAsia="Times New Roman" w:cs="Times New Roman"/>
          <w:sz w:val="36"/>
          <w:szCs w:val="36"/>
          <w:lang w:val="es-CO" w:eastAsia="es-ES"/>
        </w:rPr>
        <w:t> </w:t>
      </w:r>
    </w:p>
    <w:p w14:paraId="15A7B08E"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En conclusión, la estimación de los costos presuntos o estimados prevista en el </w:t>
      </w:r>
      <w:hyperlink r:id="rId21" w:tooltip="Estatuto Tributario CETA" w:history="1">
        <w:r w:rsidRPr="00305162">
          <w:rPr>
            <w:rFonts w:eastAsia="Times New Roman" w:cs="Times New Roman"/>
            <w:szCs w:val="24"/>
            <w:u w:val="single"/>
            <w:lang w:val="es-CO" w:eastAsia="es-ES"/>
          </w:rPr>
          <w:t>artículo 82</w:t>
        </w:r>
      </w:hyperlink>
      <w:r w:rsidRPr="00305162">
        <w:rPr>
          <w:rFonts w:eastAsia="Times New Roman" w:cs="Times New Roman"/>
          <w:szCs w:val="24"/>
          <w:lang w:val="es-CO" w:eastAsia="es-ES"/>
        </w:rPr>
        <w:t> del Estatuto Tributario es aplicable únicamente en la enajenación de activos.</w:t>
      </w:r>
    </w:p>
    <w:p w14:paraId="5D2CF314"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70022EBC"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31A762BA" w14:textId="3311410C"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Atentamente,</w:t>
      </w:r>
    </w:p>
    <w:p w14:paraId="7D8344C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2FF32E09"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 </w:t>
      </w:r>
    </w:p>
    <w:p w14:paraId="1F39E6B7"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b/>
          <w:bCs/>
          <w:szCs w:val="24"/>
          <w:lang w:val="es-CO" w:eastAsia="es-ES"/>
        </w:rPr>
        <w:t>PABLO EMILIO MENDOZA VELILLA</w:t>
      </w:r>
    </w:p>
    <w:p w14:paraId="0B54ACFC"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Subdirector de Gestión Normativa y Doctrina</w:t>
      </w:r>
    </w:p>
    <w:p w14:paraId="4A7D035B" w14:textId="7777777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Dirección de Gestión Jurídica</w:t>
      </w:r>
    </w:p>
    <w:p w14:paraId="38F6A2A9" w14:textId="31F5FE45" w:rsidR="00305162" w:rsidRPr="00305162" w:rsidRDefault="00305162" w:rsidP="00305162">
      <w:pPr>
        <w:spacing w:line="240" w:lineRule="auto"/>
        <w:rPr>
          <w:rFonts w:eastAsia="Times New Roman" w:cs="Times New Roman"/>
          <w:szCs w:val="24"/>
          <w:lang w:val="es-CO" w:eastAsia="es-ES"/>
        </w:rPr>
      </w:pPr>
      <w:r w:rsidRPr="00305162">
        <w:rPr>
          <w:rFonts w:eastAsia="Times New Roman" w:cs="Times New Roman"/>
          <w:szCs w:val="24"/>
          <w:lang w:val="es-CO" w:eastAsia="es-ES"/>
        </w:rPr>
        <w:t>UAE Dirección de lmpuestos y Aduanas Nacionales</w:t>
      </w:r>
    </w:p>
    <w:p w14:paraId="4528727C" w14:textId="70533187" w:rsidR="00305162" w:rsidRPr="00305162" w:rsidRDefault="00305162" w:rsidP="00305162">
      <w:pPr>
        <w:spacing w:line="240" w:lineRule="auto"/>
        <w:rPr>
          <w:rFonts w:eastAsia="Times New Roman" w:cs="Times New Roman"/>
          <w:szCs w:val="24"/>
          <w:lang w:eastAsia="es-ES"/>
        </w:rPr>
      </w:pPr>
      <w:r w:rsidRPr="00305162">
        <w:rPr>
          <w:rFonts w:eastAsia="Times New Roman" w:cs="Times New Roman"/>
          <w:szCs w:val="24"/>
          <w:lang w:val="es-CO" w:eastAsia="es-ES"/>
        </w:rPr>
        <w:t>_____________________________________________________________________________</w:t>
      </w:r>
    </w:p>
    <w:p w14:paraId="68CAF6BF" w14:textId="77777777" w:rsidR="00305162" w:rsidRPr="00305162" w:rsidRDefault="00305162" w:rsidP="00305162">
      <w:pPr>
        <w:spacing w:after="285" w:line="240" w:lineRule="auto"/>
        <w:rPr>
          <w:rFonts w:eastAsia="Times New Roman" w:cs="Times New Roman"/>
          <w:szCs w:val="24"/>
          <w:lang w:eastAsia="es-ES"/>
        </w:rPr>
      </w:pPr>
      <w:r w:rsidRPr="00305162">
        <w:rPr>
          <w:rFonts w:eastAsia="Times New Roman" w:cs="Times New Roman"/>
          <w:szCs w:val="24"/>
          <w:lang w:eastAsia="es-ES"/>
        </w:rPr>
        <w:t> </w:t>
      </w:r>
    </w:p>
    <w:p w14:paraId="19D6CA89" w14:textId="77777777" w:rsidR="007F5CC8" w:rsidRPr="00305162" w:rsidRDefault="007F5CC8">
      <w:pPr>
        <w:rPr>
          <w:rFonts w:cs="Times New Roman"/>
          <w:szCs w:val="24"/>
        </w:rPr>
      </w:pPr>
    </w:p>
    <w:p w14:paraId="188C3BBE" w14:textId="77777777" w:rsidR="00305162" w:rsidRPr="00305162" w:rsidRDefault="00305162">
      <w:pPr>
        <w:rPr>
          <w:rFonts w:cs="Times New Roman"/>
          <w:szCs w:val="24"/>
        </w:rPr>
      </w:pPr>
    </w:p>
    <w:sectPr w:rsidR="00305162" w:rsidRPr="00305162"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2"/>
    <w:rsid w:val="001E311E"/>
    <w:rsid w:val="00305162"/>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9849"/>
  <w15:chartTrackingRefBased/>
  <w15:docId w15:val="{EC4EB44F-07AF-4FB3-824E-BD3B5217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54862">
      <w:bodyDiv w:val="1"/>
      <w:marLeft w:val="0"/>
      <w:marRight w:val="0"/>
      <w:marTop w:val="0"/>
      <w:marBottom w:val="0"/>
      <w:divBdr>
        <w:top w:val="none" w:sz="0" w:space="0" w:color="auto"/>
        <w:left w:val="none" w:sz="0" w:space="0" w:color="auto"/>
        <w:bottom w:val="none" w:sz="0" w:space="0" w:color="auto"/>
        <w:right w:val="none" w:sz="0" w:space="0" w:color="auto"/>
      </w:divBdr>
    </w:div>
    <w:div w:id="734662185">
      <w:bodyDiv w:val="1"/>
      <w:marLeft w:val="0"/>
      <w:marRight w:val="0"/>
      <w:marTop w:val="0"/>
      <w:marBottom w:val="0"/>
      <w:divBdr>
        <w:top w:val="none" w:sz="0" w:space="0" w:color="auto"/>
        <w:left w:val="none" w:sz="0" w:space="0" w:color="auto"/>
        <w:bottom w:val="none" w:sz="0" w:space="0" w:color="auto"/>
        <w:right w:val="none" w:sz="0" w:space="0" w:color="auto"/>
      </w:divBdr>
    </w:div>
    <w:div w:id="8329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957" TargetMode="External"/><Relationship Id="rId13" Type="http://schemas.openxmlformats.org/officeDocument/2006/relationships/hyperlink" Target="https://www.ceta.org.co/html/vista_de_un_articulo.asp?Norma=12013" TargetMode="External"/><Relationship Id="rId18" Type="http://schemas.openxmlformats.org/officeDocument/2006/relationships/hyperlink" Target="https://www.ceta.org.co/html/vista_de_un_articulo.asp?Norma=125"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125" TargetMode="External"/><Relationship Id="rId7" Type="http://schemas.openxmlformats.org/officeDocument/2006/relationships/hyperlink" Target="https://www.ceta.org.co/html/vista_de_un_articulo.asp?Norma=957" TargetMode="External"/><Relationship Id="rId12" Type="http://schemas.openxmlformats.org/officeDocument/2006/relationships/hyperlink" Target="https://www.ceta.org.co/html/vista_de_un_articulo.asp?Norma=957" TargetMode="External"/><Relationship Id="rId17" Type="http://schemas.openxmlformats.org/officeDocument/2006/relationships/hyperlink" Target="https://www.ceta.org.co/html/vista_de_un_articulo.asp?Norma=957" TargetMode="External"/><Relationship Id="rId2" Type="http://schemas.openxmlformats.org/officeDocument/2006/relationships/settings" Target="settings.xml"/><Relationship Id="rId16" Type="http://schemas.openxmlformats.org/officeDocument/2006/relationships/hyperlink" Target="https://www.ceta.org.co/html/vista_de_un_articulo.asp?Norma=548" TargetMode="External"/><Relationship Id="rId20" Type="http://schemas.openxmlformats.org/officeDocument/2006/relationships/hyperlink" Target="https://www.ceta.org.co/html/vista_de_un_articulo.asp?Norma=125" TargetMode="External"/><Relationship Id="rId1" Type="http://schemas.openxmlformats.org/officeDocument/2006/relationships/styles" Target="styles.xml"/><Relationship Id="rId6" Type="http://schemas.openxmlformats.org/officeDocument/2006/relationships/hyperlink" Target="https://www.ceta.org.co/html/vista_de_un_articulo.asp?Norma=957" TargetMode="External"/><Relationship Id="rId11" Type="http://schemas.openxmlformats.org/officeDocument/2006/relationships/hyperlink" Target="https://www.ceta.org.co/html/vista_de_un_articulo.asp?Norma=761" TargetMode="External"/><Relationship Id="rId5" Type="http://schemas.openxmlformats.org/officeDocument/2006/relationships/hyperlink" Target="https://www.ceta.org.co/html/vista_de_un_articulo.asp?Norma=761" TargetMode="External"/><Relationship Id="rId15" Type="http://schemas.openxmlformats.org/officeDocument/2006/relationships/hyperlink" Target="https://www.ceta.org.co/html/vista_de_un_articulo.asp?Norma=12018" TargetMode="External"/><Relationship Id="rId23" Type="http://schemas.openxmlformats.org/officeDocument/2006/relationships/theme" Target="theme/theme1.xml"/><Relationship Id="rId10" Type="http://schemas.openxmlformats.org/officeDocument/2006/relationships/hyperlink" Target="https://www.ceta.org.co/html/vista_de_un_articulo.asp?Norma=762" TargetMode="External"/><Relationship Id="rId19" Type="http://schemas.openxmlformats.org/officeDocument/2006/relationships/hyperlink" Target="https://www.ceta.org.co/html/vista_de_un_articulo.asp?Norma=125" TargetMode="External"/><Relationship Id="rId4" Type="http://schemas.openxmlformats.org/officeDocument/2006/relationships/hyperlink" Target="https://www.ceta.org.co/html/vista_de_un_articulo.asp?Norma=125" TargetMode="External"/><Relationship Id="rId9" Type="http://schemas.openxmlformats.org/officeDocument/2006/relationships/hyperlink" Target="https://www.ceta.org.co/html/vista_de_un_articulo.asp?Norma=761" TargetMode="External"/><Relationship Id="rId14" Type="http://schemas.openxmlformats.org/officeDocument/2006/relationships/hyperlink" Target="https://www.ceta.org.co/html/vista_de_un_articulo.asp?Norma=12013"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1860</Words>
  <Characters>10234</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2020-05-05T15:39:00Z</dcterms:created>
  <dcterms:modified xsi:type="dcterms:W3CDTF">2020-05-05T15:50:00Z</dcterms:modified>
</cp:coreProperties>
</file>