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6A45F" w14:textId="77777777" w:rsidR="005F45E3" w:rsidRPr="005F45E3" w:rsidRDefault="005F45E3" w:rsidP="005F45E3">
      <w:pPr>
        <w:jc w:val="center"/>
        <w:rPr>
          <w:rFonts w:eastAsia="Times New Roman" w:cs="Times New Roman"/>
          <w:szCs w:val="24"/>
          <w:lang w:eastAsia="es-ES"/>
        </w:rPr>
      </w:pPr>
      <w:r w:rsidRPr="005F45E3">
        <w:rPr>
          <w:rFonts w:eastAsia="Times New Roman" w:cs="Times New Roman"/>
          <w:b/>
          <w:bCs/>
          <w:szCs w:val="24"/>
          <w:lang w:val="es-CO" w:eastAsia="es-ES"/>
        </w:rPr>
        <w:t xml:space="preserve">OFICIO </w:t>
      </w:r>
      <w:proofErr w:type="spellStart"/>
      <w:r w:rsidRPr="005F45E3">
        <w:rPr>
          <w:rFonts w:eastAsia="Times New Roman" w:cs="Times New Roman"/>
          <w:b/>
          <w:bCs/>
          <w:szCs w:val="24"/>
          <w:lang w:val="es-CO" w:eastAsia="es-ES"/>
        </w:rPr>
        <w:t>Nº</w:t>
      </w:r>
      <w:proofErr w:type="spellEnd"/>
      <w:r w:rsidRPr="005F45E3">
        <w:rPr>
          <w:rFonts w:eastAsia="Times New Roman" w:cs="Times New Roman"/>
          <w:b/>
          <w:bCs/>
          <w:szCs w:val="24"/>
          <w:lang w:val="es-CO" w:eastAsia="es-ES"/>
        </w:rPr>
        <w:t xml:space="preserve"> 0190 [900227]</w:t>
      </w:r>
    </w:p>
    <w:p w14:paraId="793C96A4" w14:textId="77777777" w:rsidR="005F45E3" w:rsidRPr="005F45E3" w:rsidRDefault="005F45E3" w:rsidP="005F45E3">
      <w:pPr>
        <w:jc w:val="center"/>
        <w:rPr>
          <w:rFonts w:eastAsia="Times New Roman" w:cs="Times New Roman"/>
          <w:szCs w:val="24"/>
          <w:lang w:eastAsia="es-ES"/>
        </w:rPr>
      </w:pPr>
      <w:r w:rsidRPr="005F45E3">
        <w:rPr>
          <w:rFonts w:eastAsia="Times New Roman" w:cs="Times New Roman"/>
          <w:b/>
          <w:bCs/>
          <w:szCs w:val="24"/>
          <w:lang w:val="es-CO" w:eastAsia="es-ES"/>
        </w:rPr>
        <w:t>21-02-2020</w:t>
      </w:r>
    </w:p>
    <w:p w14:paraId="246C1262" w14:textId="77777777" w:rsidR="005F45E3" w:rsidRPr="005F45E3" w:rsidRDefault="005F45E3" w:rsidP="005F45E3">
      <w:pPr>
        <w:jc w:val="center"/>
        <w:rPr>
          <w:rFonts w:eastAsia="Times New Roman" w:cs="Times New Roman"/>
          <w:szCs w:val="24"/>
          <w:lang w:eastAsia="es-ES"/>
        </w:rPr>
      </w:pPr>
      <w:r w:rsidRPr="005F45E3">
        <w:rPr>
          <w:rFonts w:eastAsia="Times New Roman" w:cs="Times New Roman"/>
          <w:b/>
          <w:bCs/>
          <w:szCs w:val="24"/>
          <w:lang w:val="es-CO" w:eastAsia="es-ES"/>
        </w:rPr>
        <w:t>DIAN</w:t>
      </w:r>
    </w:p>
    <w:p w14:paraId="6109F65E"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p w14:paraId="563D59E6"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0AAEC006"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Subdirección de Gestión Normativa y Doctrina</w:t>
      </w:r>
    </w:p>
    <w:p w14:paraId="6D095622"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100208221-000190</w:t>
      </w:r>
    </w:p>
    <w:p w14:paraId="1A3A39C9"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Bogotá, D.C.</w:t>
      </w:r>
    </w:p>
    <w:p w14:paraId="46C788FE"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FDF6238" w14:textId="77777777" w:rsidR="005F45E3" w:rsidRPr="005F45E3" w:rsidRDefault="005F45E3" w:rsidP="005F45E3">
      <w:pPr>
        <w:rPr>
          <w:rFonts w:eastAsia="Times New Roman" w:cs="Times New Roman"/>
          <w:color w:val="000000"/>
          <w:szCs w:val="24"/>
          <w:lang w:eastAsia="es-ES"/>
        </w:rPr>
      </w:pPr>
      <w:proofErr w:type="spellStart"/>
      <w:r w:rsidRPr="005F45E3">
        <w:rPr>
          <w:rFonts w:eastAsia="Times New Roman" w:cs="Times New Roman"/>
          <w:b/>
          <w:bCs/>
          <w:color w:val="000000"/>
          <w:szCs w:val="24"/>
          <w:lang w:val="es-CO" w:eastAsia="es-ES"/>
        </w:rPr>
        <w:t>Ref</w:t>
      </w:r>
      <w:proofErr w:type="spellEnd"/>
      <w:r w:rsidRPr="005F45E3">
        <w:rPr>
          <w:rFonts w:eastAsia="Times New Roman" w:cs="Times New Roman"/>
          <w:b/>
          <w:bCs/>
          <w:color w:val="000000"/>
          <w:szCs w:val="24"/>
          <w:lang w:val="es-CO" w:eastAsia="es-ES"/>
        </w:rPr>
        <w:t>:</w:t>
      </w:r>
      <w:r w:rsidRPr="005F45E3">
        <w:rPr>
          <w:rFonts w:eastAsia="Times New Roman" w:cs="Times New Roman"/>
          <w:color w:val="000000"/>
          <w:szCs w:val="24"/>
          <w:lang w:val="es-CO" w:eastAsia="es-ES"/>
        </w:rPr>
        <w:t> Radicado 100091104 del 24/10/2019</w:t>
      </w:r>
    </w:p>
    <w:p w14:paraId="67C7F866"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5775"/>
      </w:tblGrid>
      <w:tr w:rsidR="005F45E3" w:rsidRPr="005F45E3" w14:paraId="3578D5A8" w14:textId="77777777" w:rsidTr="005F45E3">
        <w:tc>
          <w:tcPr>
            <w:tcW w:w="0" w:type="auto"/>
            <w:tcBorders>
              <w:top w:val="nil"/>
              <w:left w:val="nil"/>
              <w:bottom w:val="nil"/>
              <w:right w:val="nil"/>
            </w:tcBorders>
            <w:shd w:val="clear" w:color="auto" w:fill="auto"/>
            <w:tcMar>
              <w:top w:w="0" w:type="dxa"/>
              <w:left w:w="108" w:type="dxa"/>
              <w:bottom w:w="0" w:type="dxa"/>
              <w:right w:w="108" w:type="dxa"/>
            </w:tcMar>
            <w:hideMark/>
          </w:tcPr>
          <w:p w14:paraId="7D915D35" w14:textId="77777777" w:rsidR="005F45E3" w:rsidRPr="005F45E3" w:rsidRDefault="005F45E3" w:rsidP="005F45E3">
            <w:pPr>
              <w:rPr>
                <w:rFonts w:eastAsia="Times New Roman" w:cs="Times New Roman"/>
                <w:szCs w:val="24"/>
                <w:lang w:eastAsia="es-ES"/>
              </w:rPr>
            </w:pPr>
            <w:r w:rsidRPr="005F45E3">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CB1B9A2"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92B4D99"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D4CC6F0"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Impuesto a las ventas</w:t>
            </w:r>
          </w:p>
        </w:tc>
      </w:tr>
      <w:tr w:rsidR="005F45E3" w:rsidRPr="005F45E3" w14:paraId="3B3E93B2" w14:textId="77777777" w:rsidTr="005F45E3">
        <w:tc>
          <w:tcPr>
            <w:tcW w:w="0" w:type="auto"/>
            <w:tcBorders>
              <w:top w:val="nil"/>
              <w:left w:val="nil"/>
              <w:bottom w:val="nil"/>
              <w:right w:val="nil"/>
            </w:tcBorders>
            <w:shd w:val="clear" w:color="auto" w:fill="auto"/>
            <w:tcMar>
              <w:top w:w="0" w:type="dxa"/>
              <w:left w:w="108" w:type="dxa"/>
              <w:bottom w:w="0" w:type="dxa"/>
              <w:right w:w="108" w:type="dxa"/>
            </w:tcMar>
            <w:hideMark/>
          </w:tcPr>
          <w:p w14:paraId="77A95A3B" w14:textId="77777777" w:rsidR="005F45E3" w:rsidRPr="005F45E3" w:rsidRDefault="005F45E3" w:rsidP="005F45E3">
            <w:pPr>
              <w:rPr>
                <w:rFonts w:eastAsia="Times New Roman" w:cs="Times New Roman"/>
                <w:szCs w:val="24"/>
                <w:lang w:eastAsia="es-ES"/>
              </w:rPr>
            </w:pPr>
            <w:r w:rsidRPr="005F45E3">
              <w:rPr>
                <w:rFonts w:eastAsia="Times New Roman" w:cs="Times New Roman"/>
                <w:b/>
                <w:bCs/>
                <w:szCs w:val="24"/>
                <w:lang w:val="es-CO" w:eastAsia="es-ES"/>
              </w:rPr>
              <w:t>Descriptores</w:t>
            </w:r>
          </w:p>
          <w:p w14:paraId="36F77F39"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FD875DD"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E2E760D"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773B79A"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Servicios Prestados Desde el Exterior</w:t>
            </w:r>
          </w:p>
          <w:p w14:paraId="4D57517B"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Impuestos Descontables</w:t>
            </w:r>
          </w:p>
          <w:p w14:paraId="29DDC0EA"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Impuestos Descontables - Requisitos para Su Procedencia</w:t>
            </w:r>
          </w:p>
        </w:tc>
      </w:tr>
      <w:tr w:rsidR="005F45E3" w:rsidRPr="005F45E3" w14:paraId="7CEE42BF" w14:textId="77777777" w:rsidTr="005F45E3">
        <w:tc>
          <w:tcPr>
            <w:tcW w:w="0" w:type="auto"/>
            <w:tcBorders>
              <w:top w:val="nil"/>
              <w:left w:val="nil"/>
              <w:bottom w:val="nil"/>
              <w:right w:val="nil"/>
            </w:tcBorders>
            <w:shd w:val="clear" w:color="auto" w:fill="auto"/>
            <w:tcMar>
              <w:top w:w="0" w:type="dxa"/>
              <w:left w:w="108" w:type="dxa"/>
              <w:bottom w:w="0" w:type="dxa"/>
              <w:right w:w="108" w:type="dxa"/>
            </w:tcMar>
            <w:hideMark/>
          </w:tcPr>
          <w:p w14:paraId="6AB4E077" w14:textId="77777777" w:rsidR="005F45E3" w:rsidRPr="005F45E3" w:rsidRDefault="005F45E3" w:rsidP="005F45E3">
            <w:pPr>
              <w:rPr>
                <w:rFonts w:eastAsia="Times New Roman" w:cs="Times New Roman"/>
                <w:szCs w:val="24"/>
                <w:lang w:eastAsia="es-ES"/>
              </w:rPr>
            </w:pPr>
            <w:r w:rsidRPr="005F45E3">
              <w:rPr>
                <w:rFonts w:eastAsia="Times New Roman" w:cs="Times New Roman"/>
                <w:b/>
                <w:bCs/>
                <w:szCs w:val="24"/>
                <w:lang w:val="es-CO" w:eastAsia="es-ES"/>
              </w:rPr>
              <w:t>Fuentes formales</w:t>
            </w:r>
          </w:p>
          <w:p w14:paraId="3814160A"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59E4B2E"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4B723D6"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0E6B9F6"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Artículo </w:t>
            </w:r>
            <w:hyperlink r:id="rId4" w:tooltip="Estatuto Tributario CETA" w:history="1">
              <w:r w:rsidRPr="005F45E3">
                <w:rPr>
                  <w:rFonts w:eastAsia="Times New Roman" w:cs="Times New Roman"/>
                  <w:color w:val="0089E1"/>
                  <w:szCs w:val="24"/>
                  <w:lang w:val="es-CO" w:eastAsia="es-ES"/>
                </w:rPr>
                <w:t>485</w:t>
              </w:r>
            </w:hyperlink>
            <w:r w:rsidRPr="005F45E3">
              <w:rPr>
                <w:rFonts w:eastAsia="Times New Roman" w:cs="Times New Roman"/>
                <w:szCs w:val="24"/>
                <w:lang w:val="es-CO" w:eastAsia="es-ES"/>
              </w:rPr>
              <w:t>, </w:t>
            </w:r>
            <w:hyperlink r:id="rId5" w:tooltip="Estatuto Tributario CETA" w:history="1">
              <w:r w:rsidRPr="005F45E3">
                <w:rPr>
                  <w:rFonts w:eastAsia="Times New Roman" w:cs="Times New Roman"/>
                  <w:color w:val="0089E1"/>
                  <w:szCs w:val="24"/>
                  <w:lang w:val="es-CO" w:eastAsia="es-ES"/>
                </w:rPr>
                <w:t>488</w:t>
              </w:r>
            </w:hyperlink>
            <w:r w:rsidRPr="005F45E3">
              <w:rPr>
                <w:rFonts w:eastAsia="Times New Roman" w:cs="Times New Roman"/>
                <w:szCs w:val="24"/>
                <w:lang w:val="es-CO" w:eastAsia="es-ES"/>
              </w:rPr>
              <w:t> y </w:t>
            </w:r>
            <w:hyperlink r:id="rId6" w:tooltip="Estatuto Tributario CETA" w:history="1">
              <w:r w:rsidRPr="005F45E3">
                <w:rPr>
                  <w:rFonts w:eastAsia="Times New Roman" w:cs="Times New Roman"/>
                  <w:color w:val="0089E1"/>
                  <w:szCs w:val="24"/>
                  <w:lang w:val="es-CO" w:eastAsia="es-ES"/>
                </w:rPr>
                <w:t>771-2</w:t>
              </w:r>
            </w:hyperlink>
            <w:r w:rsidRPr="005F45E3">
              <w:rPr>
                <w:rFonts w:eastAsia="Times New Roman" w:cs="Times New Roman"/>
                <w:szCs w:val="24"/>
                <w:lang w:val="es-CO" w:eastAsia="es-ES"/>
              </w:rPr>
              <w:t> del Estatuto Tributario.</w:t>
            </w:r>
          </w:p>
          <w:p w14:paraId="7E78D773" w14:textId="77777777" w:rsidR="005F45E3" w:rsidRPr="005F45E3" w:rsidRDefault="005F45E3" w:rsidP="005F45E3">
            <w:pPr>
              <w:rPr>
                <w:rFonts w:eastAsia="Times New Roman" w:cs="Times New Roman"/>
                <w:szCs w:val="24"/>
                <w:lang w:eastAsia="es-ES"/>
              </w:rPr>
            </w:pPr>
            <w:r w:rsidRPr="005F45E3">
              <w:rPr>
                <w:rFonts w:eastAsia="Times New Roman" w:cs="Times New Roman"/>
                <w:szCs w:val="24"/>
                <w:lang w:val="es-CO" w:eastAsia="es-ES"/>
              </w:rPr>
              <w:t>Artículo 1.6.1.4.44 del Decreto 1625 de 2016.</w:t>
            </w:r>
          </w:p>
        </w:tc>
      </w:tr>
    </w:tbl>
    <w:p w14:paraId="5B838FD9"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132586A"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376B984"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CB7E314"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158F6636"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Mediante el radicado de la referencia, el peticionario consulta si el impuesto sobre las ventas (en adelante IVA) pagado por la prestación de servicios desde plataformas electrónicas puede ser descontado del IVA generado por una sociedad, en consideración de los recibos expedidos por las plataformas digitales.</w:t>
      </w:r>
    </w:p>
    <w:p w14:paraId="3950E754"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FC766D1"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Sobre el particular, las consideraciones de este Despacho son las siguientes:</w:t>
      </w:r>
    </w:p>
    <w:p w14:paraId="4FC04FF1"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1FC7BFAC"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El </w:t>
      </w:r>
      <w:hyperlink r:id="rId7" w:tooltip="Estatuto Tributario CETA" w:history="1">
        <w:r w:rsidRPr="005F45E3">
          <w:rPr>
            <w:rFonts w:eastAsia="Times New Roman" w:cs="Times New Roman"/>
            <w:color w:val="0089E1"/>
            <w:szCs w:val="24"/>
            <w:lang w:val="es-CO" w:eastAsia="es-ES"/>
          </w:rPr>
          <w:t>artículo 485</w:t>
        </w:r>
      </w:hyperlink>
      <w:r w:rsidRPr="005F45E3">
        <w:rPr>
          <w:rFonts w:eastAsia="Times New Roman" w:cs="Times New Roman"/>
          <w:color w:val="000000"/>
          <w:szCs w:val="24"/>
          <w:lang w:val="es-CO" w:eastAsia="es-ES"/>
        </w:rPr>
        <w:t> del Estatuto Tributario prevé que el IVA pagado por un responsable del tributo, con ocasión de la adquisición de bienes corporales muebles y de servicios, podrá ser descontado del IVA generado por dicho responsable durante el período correspondiente:</w:t>
      </w:r>
    </w:p>
    <w:p w14:paraId="4D10EB45"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1D1EA257"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w:t>
      </w:r>
      <w:hyperlink r:id="rId8" w:tooltip="Estatuto Tributario CETA" w:history="1">
        <w:r w:rsidRPr="005F45E3">
          <w:rPr>
            <w:rFonts w:eastAsia="Times New Roman" w:cs="Times New Roman"/>
            <w:b/>
            <w:bCs/>
            <w:i/>
            <w:iCs/>
            <w:color w:val="0089E1"/>
            <w:szCs w:val="24"/>
            <w:lang w:val="es-CO" w:eastAsia="es-ES"/>
          </w:rPr>
          <w:t>ARTÍCULO 485</w:t>
        </w:r>
      </w:hyperlink>
      <w:r w:rsidRPr="005F45E3">
        <w:rPr>
          <w:rFonts w:eastAsia="Times New Roman" w:cs="Times New Roman"/>
          <w:b/>
          <w:bCs/>
          <w:i/>
          <w:iCs/>
          <w:color w:val="000000"/>
          <w:szCs w:val="24"/>
          <w:lang w:val="es-CO" w:eastAsia="es-ES"/>
        </w:rPr>
        <w:t>. IMPUESTOS DESCONTABLES.</w:t>
      </w:r>
      <w:r w:rsidRPr="005F45E3">
        <w:rPr>
          <w:rFonts w:eastAsia="Times New Roman" w:cs="Times New Roman"/>
          <w:i/>
          <w:iCs/>
          <w:color w:val="000000"/>
          <w:szCs w:val="24"/>
          <w:lang w:val="es-CO" w:eastAsia="es-ES"/>
        </w:rPr>
        <w:t> Los impuestos descontables son:</w:t>
      </w:r>
    </w:p>
    <w:p w14:paraId="3B46A924"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w:t>
      </w:r>
    </w:p>
    <w:p w14:paraId="20D39323"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lastRenderedPageBreak/>
        <w:t>a) El impuesto sobre las ventas </w:t>
      </w:r>
      <w:r w:rsidRPr="005F45E3">
        <w:rPr>
          <w:rFonts w:eastAsia="Times New Roman" w:cs="Times New Roman"/>
          <w:b/>
          <w:bCs/>
          <w:i/>
          <w:iCs/>
          <w:color w:val="000000"/>
          <w:szCs w:val="24"/>
          <w:lang w:val="es-CO" w:eastAsia="es-ES"/>
        </w:rPr>
        <w:t>facturado</w:t>
      </w:r>
      <w:r w:rsidRPr="005F45E3">
        <w:rPr>
          <w:rFonts w:eastAsia="Times New Roman" w:cs="Times New Roman"/>
          <w:i/>
          <w:iCs/>
          <w:color w:val="000000"/>
          <w:szCs w:val="24"/>
          <w:lang w:val="es-CO" w:eastAsia="es-ES"/>
        </w:rPr>
        <w:t> al responsable por la adquisición de bienes corporales muebles y servicios”.</w:t>
      </w:r>
    </w:p>
    <w:p w14:paraId="6FC05D02"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41BD17E1"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En consideración de lo anterior, el derecho al descuento de los valores pagados por IVA dependerá del cumplimiento de los requisitos de orden general y particular previstos por la legislación tributaria, como lo prevé el </w:t>
      </w:r>
      <w:hyperlink r:id="rId9" w:tooltip="Estatuto Tributario CETA" w:history="1">
        <w:r w:rsidRPr="005F45E3">
          <w:rPr>
            <w:rFonts w:eastAsia="Times New Roman" w:cs="Times New Roman"/>
            <w:color w:val="0089E1"/>
            <w:szCs w:val="24"/>
            <w:lang w:val="es-CO" w:eastAsia="es-ES"/>
          </w:rPr>
          <w:t>artículo 488</w:t>
        </w:r>
      </w:hyperlink>
      <w:r w:rsidRPr="005F45E3">
        <w:rPr>
          <w:rFonts w:eastAsia="Times New Roman" w:cs="Times New Roman"/>
          <w:color w:val="000000"/>
          <w:szCs w:val="24"/>
          <w:lang w:val="es-CO" w:eastAsia="es-ES"/>
        </w:rPr>
        <w:t> del Estatuto Tributario:</w:t>
      </w:r>
    </w:p>
    <w:p w14:paraId="0E49D9D9"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b/>
          <w:bCs/>
          <w:color w:val="000000"/>
          <w:szCs w:val="24"/>
          <w:lang w:val="es-CO" w:eastAsia="es-ES"/>
        </w:rPr>
        <w:t> </w:t>
      </w:r>
    </w:p>
    <w:p w14:paraId="42371BC5"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w:t>
      </w:r>
      <w:hyperlink r:id="rId10" w:tooltip="Estatuto Tributario CETA" w:history="1">
        <w:r w:rsidRPr="005F45E3">
          <w:rPr>
            <w:rFonts w:eastAsia="Times New Roman" w:cs="Times New Roman"/>
            <w:b/>
            <w:bCs/>
            <w:i/>
            <w:iCs/>
            <w:color w:val="0089E1"/>
            <w:szCs w:val="24"/>
            <w:lang w:val="es-CO" w:eastAsia="es-ES"/>
          </w:rPr>
          <w:t>ARTÍCULO 488</w:t>
        </w:r>
      </w:hyperlink>
      <w:r w:rsidRPr="005F45E3">
        <w:rPr>
          <w:rFonts w:eastAsia="Times New Roman" w:cs="Times New Roman"/>
          <w:b/>
          <w:bCs/>
          <w:i/>
          <w:iCs/>
          <w:color w:val="000000"/>
          <w:szCs w:val="24"/>
          <w:lang w:val="es-CO" w:eastAsia="es-ES"/>
        </w:rPr>
        <w:t>. SOLO SON DESCONTABLES LOS IMPUESTOS ORIGINADOS EN OPERACIONES QUE CONSTITUYAN COSTO O GASTO.</w:t>
      </w:r>
      <w:r w:rsidRPr="005F45E3">
        <w:rPr>
          <w:rFonts w:eastAsia="Times New Roman" w:cs="Times New Roman"/>
          <w:i/>
          <w:iCs/>
          <w:color w:val="000000"/>
          <w:szCs w:val="24"/>
          <w:lang w:val="es-CO" w:eastAsia="es-ES"/>
        </w:rPr>
        <w:t> Solo otorga derecho a descuento, el impuesto sobre las ventas por las adquisiciones de bienes corporales muebles y servicios, y por las importaciones que, </w:t>
      </w:r>
      <w:r w:rsidRPr="005F45E3">
        <w:rPr>
          <w:rFonts w:eastAsia="Times New Roman" w:cs="Times New Roman"/>
          <w:b/>
          <w:bCs/>
          <w:i/>
          <w:iCs/>
          <w:color w:val="000000"/>
          <w:szCs w:val="24"/>
          <w:lang w:val="es-CO" w:eastAsia="es-ES"/>
        </w:rPr>
        <w:t>de acuerdo con las disposiciones del impuesto a la renta, resulten computables como costo o gasto de la empresa y que se destinen a las operaciones gravadas con el impuesto sobre las ventas”.</w:t>
      </w:r>
    </w:p>
    <w:p w14:paraId="57312869"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13E827CD"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Por otra parte, desde una perspectiva probatoria, el </w:t>
      </w:r>
      <w:hyperlink r:id="rId11" w:tooltip="Estatuto Tributario CETA" w:history="1">
        <w:r w:rsidRPr="005F45E3">
          <w:rPr>
            <w:rFonts w:eastAsia="Times New Roman" w:cs="Times New Roman"/>
            <w:color w:val="0089E1"/>
            <w:szCs w:val="24"/>
            <w:lang w:val="es-CO" w:eastAsia="es-ES"/>
          </w:rPr>
          <w:t>artículo 771-2</w:t>
        </w:r>
      </w:hyperlink>
      <w:r w:rsidRPr="005F45E3">
        <w:rPr>
          <w:rFonts w:eastAsia="Times New Roman" w:cs="Times New Roman"/>
          <w:color w:val="000000"/>
          <w:szCs w:val="24"/>
          <w:lang w:val="es-CO" w:eastAsia="es-ES"/>
        </w:rPr>
        <w:t> del Estatuto Tributario supedita la procedencia de los impuestos descontables a la existencia de facturas y/o documentos equivalentes que soporten los valores objeto de descuento, atendiendo la particularidad de cada circunstancia.</w:t>
      </w:r>
    </w:p>
    <w:p w14:paraId="4C4BAD47"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0E43536A"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w:t>
      </w:r>
      <w:hyperlink r:id="rId12" w:tooltip="Estatuto Tributario CETA" w:history="1">
        <w:r w:rsidRPr="005F45E3">
          <w:rPr>
            <w:rFonts w:eastAsia="Times New Roman" w:cs="Times New Roman"/>
            <w:b/>
            <w:bCs/>
            <w:i/>
            <w:iCs/>
            <w:color w:val="0089E1"/>
            <w:szCs w:val="24"/>
            <w:lang w:val="es-CO" w:eastAsia="es-ES"/>
          </w:rPr>
          <w:t>ARTÍCULO 771-2</w:t>
        </w:r>
      </w:hyperlink>
      <w:r w:rsidRPr="005F45E3">
        <w:rPr>
          <w:rFonts w:eastAsia="Times New Roman" w:cs="Times New Roman"/>
          <w:b/>
          <w:bCs/>
          <w:i/>
          <w:iCs/>
          <w:color w:val="000000"/>
          <w:szCs w:val="24"/>
          <w:lang w:val="es-CO" w:eastAsia="es-ES"/>
        </w:rPr>
        <w:t>. PROCEDENCIA DE COSTOS, DEDUCCIONES E IMPUESTOS DESCONTABLES.</w:t>
      </w:r>
      <w:r w:rsidRPr="005F45E3">
        <w:rPr>
          <w:rFonts w:eastAsia="Times New Roman" w:cs="Times New Roman"/>
          <w:i/>
          <w:iCs/>
          <w:color w:val="000000"/>
          <w:szCs w:val="24"/>
          <w:lang w:val="es-CO" w:eastAsia="es-ES"/>
        </w:rPr>
        <w:t> Para la procedencia de costos y deducciones en el impuesto sobre la renta, así como de los </w:t>
      </w:r>
      <w:r w:rsidRPr="005F45E3">
        <w:rPr>
          <w:rFonts w:eastAsia="Times New Roman" w:cs="Times New Roman"/>
          <w:b/>
          <w:bCs/>
          <w:i/>
          <w:iCs/>
          <w:color w:val="000000"/>
          <w:szCs w:val="24"/>
          <w:u w:val="single"/>
          <w:lang w:val="es-CO" w:eastAsia="es-ES"/>
        </w:rPr>
        <w:t>impuestos descontables en el impuesto sobre las ventas</w:t>
      </w:r>
      <w:r w:rsidRPr="005F45E3">
        <w:rPr>
          <w:rFonts w:eastAsia="Times New Roman" w:cs="Times New Roman"/>
          <w:i/>
          <w:iCs/>
          <w:color w:val="000000"/>
          <w:szCs w:val="24"/>
          <w:lang w:val="es-CO" w:eastAsia="es-ES"/>
        </w:rPr>
        <w:t>, se requerirá de </w:t>
      </w:r>
      <w:r w:rsidRPr="005F45E3">
        <w:rPr>
          <w:rFonts w:eastAsia="Times New Roman" w:cs="Times New Roman"/>
          <w:b/>
          <w:bCs/>
          <w:i/>
          <w:iCs/>
          <w:color w:val="000000"/>
          <w:szCs w:val="24"/>
          <w:u w:val="single"/>
          <w:lang w:val="es-CO" w:eastAsia="es-ES"/>
        </w:rPr>
        <w:t>facturas con el cumplimiento de los requisitos establecidos en los literales b), c), d), e), f) y g) de los artículos </w:t>
      </w:r>
      <w:hyperlink r:id="rId13" w:tooltip="Estatuto Tributario CETA" w:history="1">
        <w:r w:rsidRPr="005F45E3">
          <w:rPr>
            <w:rFonts w:eastAsia="Times New Roman" w:cs="Times New Roman"/>
            <w:b/>
            <w:bCs/>
            <w:i/>
            <w:iCs/>
            <w:color w:val="0089E1"/>
            <w:szCs w:val="24"/>
            <w:lang w:val="es-CO" w:eastAsia="es-ES"/>
          </w:rPr>
          <w:t>617</w:t>
        </w:r>
      </w:hyperlink>
      <w:r w:rsidRPr="005F45E3">
        <w:rPr>
          <w:rFonts w:eastAsia="Times New Roman" w:cs="Times New Roman"/>
          <w:b/>
          <w:bCs/>
          <w:i/>
          <w:iCs/>
          <w:color w:val="000000"/>
          <w:szCs w:val="24"/>
          <w:u w:val="single"/>
          <w:lang w:val="es-CO" w:eastAsia="es-ES"/>
        </w:rPr>
        <w:t> y </w:t>
      </w:r>
      <w:hyperlink r:id="rId14" w:tooltip="Estatuto Tributario CETA" w:history="1">
        <w:r w:rsidRPr="005F45E3">
          <w:rPr>
            <w:rFonts w:eastAsia="Times New Roman" w:cs="Times New Roman"/>
            <w:b/>
            <w:bCs/>
            <w:i/>
            <w:iCs/>
            <w:color w:val="0089E1"/>
            <w:szCs w:val="24"/>
            <w:lang w:val="es-CO" w:eastAsia="es-ES"/>
          </w:rPr>
          <w:t>618</w:t>
        </w:r>
      </w:hyperlink>
      <w:r w:rsidRPr="005F45E3">
        <w:rPr>
          <w:rFonts w:eastAsia="Times New Roman" w:cs="Times New Roman"/>
          <w:b/>
          <w:bCs/>
          <w:i/>
          <w:iCs/>
          <w:color w:val="000000"/>
          <w:szCs w:val="24"/>
          <w:u w:val="single"/>
          <w:lang w:val="es-CO" w:eastAsia="es-ES"/>
        </w:rPr>
        <w:t> del Estatuto Tributario.</w:t>
      </w:r>
    </w:p>
    <w:p w14:paraId="47E3BC16"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w:t>
      </w:r>
    </w:p>
    <w:p w14:paraId="06B362C6"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Tratándose de </w:t>
      </w:r>
      <w:r w:rsidRPr="005F45E3">
        <w:rPr>
          <w:rFonts w:eastAsia="Times New Roman" w:cs="Times New Roman"/>
          <w:b/>
          <w:bCs/>
          <w:i/>
          <w:iCs/>
          <w:color w:val="000000"/>
          <w:szCs w:val="24"/>
          <w:u w:val="single"/>
          <w:lang w:val="es-CO" w:eastAsia="es-ES"/>
        </w:rPr>
        <w:t>documentos equivalentes se deberán cumplir los requisitos contenidos en los literales b), d), e) y g) del </w:t>
      </w:r>
      <w:hyperlink r:id="rId15" w:tooltip="Estatuto Tributario CETA" w:history="1">
        <w:r w:rsidRPr="005F45E3">
          <w:rPr>
            <w:rFonts w:eastAsia="Times New Roman" w:cs="Times New Roman"/>
            <w:b/>
            <w:bCs/>
            <w:i/>
            <w:iCs/>
            <w:color w:val="0089E1"/>
            <w:szCs w:val="24"/>
            <w:lang w:val="es-CO" w:eastAsia="es-ES"/>
          </w:rPr>
          <w:t>artículo 617</w:t>
        </w:r>
      </w:hyperlink>
      <w:r w:rsidRPr="005F45E3">
        <w:rPr>
          <w:rFonts w:eastAsia="Times New Roman" w:cs="Times New Roman"/>
          <w:b/>
          <w:bCs/>
          <w:i/>
          <w:iCs/>
          <w:color w:val="000000"/>
          <w:szCs w:val="24"/>
          <w:u w:val="single"/>
          <w:lang w:val="es-CO" w:eastAsia="es-ES"/>
        </w:rPr>
        <w:t> del Estatuto Tributario.</w:t>
      </w:r>
    </w:p>
    <w:p w14:paraId="2AE1040C"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 </w:t>
      </w:r>
    </w:p>
    <w:p w14:paraId="15650A17"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Cuando no exista la obligación de expedir factura o documento equivalente, el documento que pruebe la respectiva transacción que da lugar a costos, deducciones o impuestos descontables, </w:t>
      </w:r>
      <w:r w:rsidRPr="005F45E3">
        <w:rPr>
          <w:rFonts w:eastAsia="Times New Roman" w:cs="Times New Roman"/>
          <w:b/>
          <w:bCs/>
          <w:i/>
          <w:iCs/>
          <w:color w:val="000000"/>
          <w:szCs w:val="24"/>
          <w:u w:val="single"/>
          <w:lang w:val="es-CO" w:eastAsia="es-ES"/>
        </w:rPr>
        <w:t>deberá cumplir los requisitos mínimos que el Gobierno Nacional establezca.</w:t>
      </w:r>
    </w:p>
    <w:p w14:paraId="6040E401"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 </w:t>
      </w:r>
    </w:p>
    <w:p w14:paraId="3477D76D"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PARÁGRAFO.</w:t>
      </w:r>
      <w:r w:rsidRPr="005F45E3">
        <w:rPr>
          <w:rFonts w:eastAsia="Times New Roman" w:cs="Times New Roman"/>
          <w:i/>
          <w:iCs/>
          <w:color w:val="000000"/>
          <w:szCs w:val="24"/>
          <w:lang w:val="es-CO" w:eastAsia="es-ES"/>
        </w:rPr>
        <w:t> En lo referente al cumplimiento del requisito establecido en el literal d) del </w:t>
      </w:r>
      <w:hyperlink r:id="rId16" w:tooltip="Estatuto Tributario CETA" w:history="1">
        <w:r w:rsidRPr="005F45E3">
          <w:rPr>
            <w:rFonts w:eastAsia="Times New Roman" w:cs="Times New Roman"/>
            <w:i/>
            <w:iCs/>
            <w:color w:val="0089E1"/>
            <w:szCs w:val="24"/>
            <w:lang w:val="es-CO" w:eastAsia="es-ES"/>
          </w:rPr>
          <w:t>artículo 617</w:t>
        </w:r>
      </w:hyperlink>
      <w:r w:rsidRPr="005F45E3">
        <w:rPr>
          <w:rFonts w:eastAsia="Times New Roman" w:cs="Times New Roman"/>
          <w:i/>
          <w:iCs/>
          <w:color w:val="000000"/>
          <w:szCs w:val="24"/>
          <w:lang w:val="es-CO" w:eastAsia="es-ES"/>
        </w:rPr>
        <w:t> del Estatuto Tributario para la procedencia de costos, deducciones y de impuestos descontables, bastará que la factura o documento equivalente contenga la correspondiente numeración.</w:t>
      </w:r>
    </w:p>
    <w:p w14:paraId="74903B00"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w:t>
      </w:r>
    </w:p>
    <w:p w14:paraId="5C345700"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PARÁGRAFO 2o.</w:t>
      </w:r>
      <w:r w:rsidRPr="005F45E3">
        <w:rPr>
          <w:rFonts w:eastAsia="Times New Roman" w:cs="Times New Roman"/>
          <w:i/>
          <w:iCs/>
          <w:color w:val="000000"/>
          <w:szCs w:val="24"/>
          <w:lang w:val="es-CO" w:eastAsia="es-ES"/>
        </w:rPr>
        <w:t xml:space="preserve"> Sin perjuicio de lo establecido en este artículo, los costos y deducciones efectivamente realizados durante el año o período gravable serán aceptados fiscalmente, así </w:t>
      </w:r>
      <w:r w:rsidRPr="005F45E3">
        <w:rPr>
          <w:rFonts w:eastAsia="Times New Roman" w:cs="Times New Roman"/>
          <w:i/>
          <w:iCs/>
          <w:color w:val="000000"/>
          <w:szCs w:val="24"/>
          <w:lang w:val="es-CO" w:eastAsia="es-ES"/>
        </w:rPr>
        <w:lastRenderedPageBreak/>
        <w:t>la factura de venta o documento equivalente tenga fecha del año o período siguiente, siempre y cuando se acredite la prestación del servicio o venta del bien en el año o período gravable”.</w:t>
      </w:r>
    </w:p>
    <w:p w14:paraId="5EFA7955"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4A0DA604"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En virtud de lo expuesto, la acreditación documental para la procedencia del descuento de los valores pagados por concepto de IVA dependerá del cumplimiento de los presupuestos enunciados, y de las particularidades de cada caso.</w:t>
      </w:r>
    </w:p>
    <w:p w14:paraId="08A6D620"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037147F8"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Ahora bien, teniendo en cuenta el objeto de su consulta, esta Subdirección denota que la acreditación documental del valor del IVA pagado por la prestación de servicios desde el exterior, para efectos de su descuento, se ciñe a lo dispuesto en la Resolución 51 de 19 de octubre de 2018 y el parágrafo 2 del </w:t>
      </w:r>
      <w:hyperlink r:id="rId17" w:tooltip="Estatuto Tributario CETA" w:history="1">
        <w:r w:rsidRPr="005F45E3">
          <w:rPr>
            <w:rFonts w:eastAsia="Times New Roman" w:cs="Times New Roman"/>
            <w:color w:val="0089E1"/>
            <w:szCs w:val="24"/>
            <w:lang w:val="es-CO" w:eastAsia="es-ES"/>
          </w:rPr>
          <w:t>artículo 437</w:t>
        </w:r>
      </w:hyperlink>
      <w:r w:rsidRPr="005F45E3">
        <w:rPr>
          <w:rFonts w:eastAsia="Times New Roman" w:cs="Times New Roman"/>
          <w:color w:val="000000"/>
          <w:szCs w:val="24"/>
          <w:lang w:val="es-CO" w:eastAsia="es-ES"/>
        </w:rPr>
        <w:t> del Estatuto Tributario, modificado por la Ley 2010 de 2019.</w:t>
      </w:r>
    </w:p>
    <w:p w14:paraId="2BE2AD5E"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3221B26F"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La Ley 2010 de 2019 modificó el parágrafo 2 del </w:t>
      </w:r>
      <w:hyperlink r:id="rId18" w:tooltip="Estatuto Tributario CETA" w:history="1">
        <w:r w:rsidRPr="005F45E3">
          <w:rPr>
            <w:rFonts w:eastAsia="Times New Roman" w:cs="Times New Roman"/>
            <w:color w:val="0089E1"/>
            <w:szCs w:val="24"/>
            <w:lang w:val="es-CO" w:eastAsia="es-ES"/>
          </w:rPr>
          <w:t>artículo 437</w:t>
        </w:r>
      </w:hyperlink>
      <w:r w:rsidRPr="005F45E3">
        <w:rPr>
          <w:rFonts w:eastAsia="Times New Roman" w:cs="Times New Roman"/>
          <w:color w:val="000000"/>
          <w:szCs w:val="24"/>
          <w:lang w:val="es-CO" w:eastAsia="es-ES"/>
        </w:rPr>
        <w:t> del Estatuto Tributario en los siguientes términos:</w:t>
      </w:r>
    </w:p>
    <w:p w14:paraId="51C72A82"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0B6A36D" w14:textId="77777777" w:rsidR="005F45E3" w:rsidRPr="005F45E3" w:rsidRDefault="005F45E3" w:rsidP="005F45E3">
      <w:pPr>
        <w:rPr>
          <w:rFonts w:eastAsia="Times New Roman" w:cs="Times New Roman"/>
          <w:color w:val="000000"/>
          <w:szCs w:val="24"/>
          <w:lang w:eastAsia="es-ES"/>
        </w:rPr>
      </w:pPr>
      <w:hyperlink r:id="rId19" w:tooltip="Estatuto Tributario CETA" w:history="1">
        <w:r w:rsidRPr="005F45E3">
          <w:rPr>
            <w:rFonts w:eastAsia="Times New Roman" w:cs="Times New Roman"/>
            <w:b/>
            <w:bCs/>
            <w:i/>
            <w:iCs/>
            <w:color w:val="0089E1"/>
            <w:szCs w:val="24"/>
            <w:lang w:val="es-CO" w:eastAsia="es-ES"/>
          </w:rPr>
          <w:t>Artículo 437</w:t>
        </w:r>
      </w:hyperlink>
      <w:r w:rsidRPr="005F45E3">
        <w:rPr>
          <w:rFonts w:eastAsia="Times New Roman" w:cs="Times New Roman"/>
          <w:b/>
          <w:bCs/>
          <w:i/>
          <w:iCs/>
          <w:color w:val="000000"/>
          <w:szCs w:val="24"/>
          <w:lang w:val="es-CO" w:eastAsia="es-ES"/>
        </w:rPr>
        <w:t> del Estatuto Tributario. Parágrafo 2.</w:t>
      </w:r>
      <w:r w:rsidRPr="005F45E3">
        <w:rPr>
          <w:rFonts w:eastAsia="Times New Roman" w:cs="Times New Roman"/>
          <w:i/>
          <w:iCs/>
          <w:color w:val="000000"/>
          <w:szCs w:val="24"/>
          <w:lang w:val="es-CO" w:eastAsia="es-ES"/>
        </w:rPr>
        <w:t> "(...) Los prestadores de servicios desde el exterior, sin residencia fiscal en Colombia, </w:t>
      </w:r>
      <w:r w:rsidRPr="005F45E3">
        <w:rPr>
          <w:rFonts w:eastAsia="Times New Roman" w:cs="Times New Roman"/>
          <w:b/>
          <w:bCs/>
          <w:i/>
          <w:iCs/>
          <w:color w:val="000000"/>
          <w:szCs w:val="24"/>
          <w:u w:val="single"/>
          <w:lang w:val="es-CO" w:eastAsia="es-ES"/>
        </w:rPr>
        <w:t>no estarán obligados a expedir factura o documento equivalente por la prestación de los servicios electrónicos o digitales. Lo anterior sin perjuicio de las facultades de la Dirección de Impuestos y Aduanas Nacionales -DIAN para establecer la obligación de facturar electrónicamente o de soportar las operaciones en un documento electrónico”.</w:t>
      </w:r>
    </w:p>
    <w:p w14:paraId="59A88382"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30C9F62F"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Por lo tanto, dichas operaciones deberán sujetarse a lo descrito en el inciso tercero del </w:t>
      </w:r>
      <w:hyperlink r:id="rId20" w:tooltip="Estatuto Tributario CETA" w:history="1">
        <w:r w:rsidRPr="005F45E3">
          <w:rPr>
            <w:rFonts w:eastAsia="Times New Roman" w:cs="Times New Roman"/>
            <w:color w:val="0089E1"/>
            <w:szCs w:val="24"/>
            <w:lang w:val="es-CO" w:eastAsia="es-ES"/>
          </w:rPr>
          <w:t>artículo 771-2</w:t>
        </w:r>
      </w:hyperlink>
      <w:r w:rsidRPr="005F45E3">
        <w:rPr>
          <w:rFonts w:eastAsia="Times New Roman" w:cs="Times New Roman"/>
          <w:color w:val="000000"/>
          <w:szCs w:val="24"/>
          <w:lang w:val="es-CO" w:eastAsia="es-ES"/>
        </w:rPr>
        <w:t> del Estatuto Tributario, reglamentado mediante el artículo 1.6.1.4.44 del Decreto 1625 de 2016, los cuales contemplan que:</w:t>
      </w:r>
    </w:p>
    <w:p w14:paraId="4EF62863"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54784A76"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w:t>
      </w:r>
      <w:hyperlink r:id="rId21" w:tooltip="Estatuto Tributario CETA" w:history="1">
        <w:r w:rsidRPr="005F45E3">
          <w:rPr>
            <w:rFonts w:eastAsia="Times New Roman" w:cs="Times New Roman"/>
            <w:b/>
            <w:bCs/>
            <w:i/>
            <w:iCs/>
            <w:color w:val="0089E1"/>
            <w:szCs w:val="24"/>
            <w:lang w:val="es-CO" w:eastAsia="es-ES"/>
          </w:rPr>
          <w:t>ARTÍCULO 771-2</w:t>
        </w:r>
      </w:hyperlink>
      <w:r w:rsidRPr="005F45E3">
        <w:rPr>
          <w:rFonts w:eastAsia="Times New Roman" w:cs="Times New Roman"/>
          <w:b/>
          <w:bCs/>
          <w:i/>
          <w:iCs/>
          <w:color w:val="000000"/>
          <w:szCs w:val="24"/>
          <w:lang w:val="es-CO" w:eastAsia="es-ES"/>
        </w:rPr>
        <w:t>. PROCEDENCIA DE COSTOS, DEDUCCIONES E IMPUESTOS DESCONTABLES.</w:t>
      </w:r>
      <w:r w:rsidRPr="005F45E3">
        <w:rPr>
          <w:rFonts w:eastAsia="Times New Roman" w:cs="Times New Roman"/>
          <w:i/>
          <w:iCs/>
          <w:color w:val="000000"/>
          <w:szCs w:val="24"/>
          <w:lang w:val="es-CO" w:eastAsia="es-ES"/>
        </w:rPr>
        <w:t> (...) Cuando no exista la obligación de expedir factura o documento equivalente, el documento que pruebe la respectiva transacción que da lugar a costos, deducciones o impuestos descontables, deberá cumplir los requisitos mínimos que el Gobierno Nacional establezca”.</w:t>
      </w:r>
    </w:p>
    <w:p w14:paraId="25CD6B4F"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w:t>
      </w:r>
    </w:p>
    <w:p w14:paraId="549A7264"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b/>
          <w:bCs/>
          <w:i/>
          <w:iCs/>
          <w:color w:val="000000"/>
          <w:szCs w:val="24"/>
          <w:lang w:val="es-CO" w:eastAsia="es-ES"/>
        </w:rPr>
        <w:t>“ARTÍCULO 1.6.1.4.44. REQUISITOS PARA LA PROCEDENCIA DE COSTOS, DEDUCCIONES E IMPUESTOS DESCONTABLES POR OPERACIONES REALIZADAS CON NO OBLIGADOS A FACTURAR.</w:t>
      </w:r>
      <w:r w:rsidRPr="005F45E3">
        <w:rPr>
          <w:rFonts w:eastAsia="Times New Roman" w:cs="Times New Roman"/>
          <w:i/>
          <w:iCs/>
          <w:color w:val="000000"/>
          <w:szCs w:val="24"/>
          <w:lang w:val="es-CO" w:eastAsia="es-ES"/>
        </w:rPr>
        <w:t> De conformidad con lo estipulado en el inciso 3º del </w:t>
      </w:r>
      <w:hyperlink r:id="rId22" w:tooltip="Estatuto Tributario CETA" w:history="1">
        <w:r w:rsidRPr="005F45E3">
          <w:rPr>
            <w:rFonts w:eastAsia="Times New Roman" w:cs="Times New Roman"/>
            <w:i/>
            <w:iCs/>
            <w:color w:val="0089E1"/>
            <w:szCs w:val="24"/>
            <w:lang w:val="es-CO" w:eastAsia="es-ES"/>
          </w:rPr>
          <w:t>artículo 771-2</w:t>
        </w:r>
      </w:hyperlink>
      <w:r w:rsidRPr="005F45E3">
        <w:rPr>
          <w:rFonts w:eastAsia="Times New Roman" w:cs="Times New Roman"/>
          <w:i/>
          <w:iCs/>
          <w:color w:val="000000"/>
          <w:szCs w:val="24"/>
          <w:lang w:val="es-CO" w:eastAsia="es-ES"/>
        </w:rPr>
        <w:t> del Estatuto Tributario, </w:t>
      </w:r>
      <w:r w:rsidRPr="005F45E3">
        <w:rPr>
          <w:rFonts w:eastAsia="Times New Roman" w:cs="Times New Roman"/>
          <w:b/>
          <w:bCs/>
          <w:i/>
          <w:iCs/>
          <w:color w:val="000000"/>
          <w:szCs w:val="24"/>
          <w:lang w:val="es-CO" w:eastAsia="es-ES"/>
        </w:rPr>
        <w:t>el documento soporte para la procedencia de costos, deducciones e impuestos descontables por operaciones realizadas con personas no obligadas a expedir facturas o documento equivalente, </w:t>
      </w:r>
      <w:r w:rsidRPr="005F45E3">
        <w:rPr>
          <w:rFonts w:eastAsia="Times New Roman" w:cs="Times New Roman"/>
          <w:i/>
          <w:iCs/>
          <w:color w:val="000000"/>
          <w:szCs w:val="24"/>
          <w:lang w:val="es-CO" w:eastAsia="es-ES"/>
        </w:rPr>
        <w:t>será el expedido por el vendedor o por el adquirente del bien y/o servicio, y deberá reunir los siguientes requisitos:</w:t>
      </w:r>
    </w:p>
    <w:p w14:paraId="4423451D"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011DFA6C" w14:textId="522CA242"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lastRenderedPageBreak/>
        <w:t>1. Apellidos y nombre o razón social y NIT de la persona o entidad beneficiaria del pago o abono. </w:t>
      </w:r>
    </w:p>
    <w:p w14:paraId="48448528" w14:textId="15599353"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2. Fecha de la transacción. </w:t>
      </w:r>
    </w:p>
    <w:p w14:paraId="07B53C42"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3. Concepto.</w:t>
      </w:r>
    </w:p>
    <w:p w14:paraId="5175358D" w14:textId="3FB03B88"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4. Valor de la operación. </w:t>
      </w:r>
    </w:p>
    <w:p w14:paraId="18944F3F"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5. La discriminación del impuesto generado en la operación, para el caso del impuesto sobre las ventas descontable.</w:t>
      </w:r>
    </w:p>
    <w:p w14:paraId="0CB0E261"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 </w:t>
      </w:r>
    </w:p>
    <w:p w14:paraId="78E96971" w14:textId="77777777" w:rsidR="005F45E3" w:rsidRPr="005F45E3" w:rsidRDefault="005F45E3" w:rsidP="005F45E3">
      <w:pPr>
        <w:ind w:left="284"/>
        <w:rPr>
          <w:rFonts w:eastAsia="Times New Roman" w:cs="Times New Roman"/>
          <w:color w:val="000000"/>
          <w:szCs w:val="24"/>
          <w:lang w:eastAsia="es-ES"/>
        </w:rPr>
      </w:pPr>
      <w:r w:rsidRPr="005F45E3">
        <w:rPr>
          <w:rFonts w:eastAsia="Times New Roman" w:cs="Times New Roman"/>
          <w:i/>
          <w:iCs/>
          <w:color w:val="000000"/>
          <w:szCs w:val="24"/>
          <w:lang w:val="es-CO" w:eastAsia="es-ES"/>
        </w:rPr>
        <w:t>Lo dispuesto en el presente artículo no será aplicable para la procedencia de los costos, deducciones e impuestos descontables correspondientes a la retención asumida en operaciones realizadas con responsables del impuesto sobre las ventas del régimen simplificado. “.</w:t>
      </w:r>
    </w:p>
    <w:p w14:paraId="2D7F1BD3"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005B263A"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En virtud de lo anterior, los adquirientes de los servicios prestados del exterior a través de plataformas digitales deberán proceder con la expedición del documento soporte, de conformidad con el artículo 1.6.1.4.44 del Decreto 1625 de 2016, para efectos de la procedencia de costos, deducciones e impuestos descontables.</w:t>
      </w:r>
    </w:p>
    <w:p w14:paraId="1FA4A264" w14:textId="77777777" w:rsidR="005F45E3" w:rsidRDefault="005F45E3" w:rsidP="005F45E3">
      <w:pPr>
        <w:rPr>
          <w:rFonts w:eastAsia="Times New Roman" w:cs="Times New Roman"/>
          <w:color w:val="000000"/>
          <w:szCs w:val="24"/>
          <w:lang w:val="es-CO" w:eastAsia="es-ES"/>
        </w:rPr>
      </w:pPr>
    </w:p>
    <w:p w14:paraId="0C2A0D5B" w14:textId="35E14F1B"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Sobre la vigencia y aplicación de esta disposición, se adjunta el Concepto 129 de 2020 de este Despacho.</w:t>
      </w:r>
    </w:p>
    <w:p w14:paraId="444F056B"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 </w:t>
      </w:r>
    </w:p>
    <w:p w14:paraId="6C8845E6"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Atentamente,</w:t>
      </w:r>
    </w:p>
    <w:p w14:paraId="58AFD188" w14:textId="048D1632" w:rsidR="005F45E3" w:rsidRPr="005F45E3" w:rsidRDefault="005F45E3" w:rsidP="005F45E3">
      <w:pPr>
        <w:rPr>
          <w:rFonts w:eastAsia="Times New Roman" w:cs="Times New Roman"/>
          <w:color w:val="000000"/>
          <w:szCs w:val="24"/>
          <w:lang w:eastAsia="es-ES"/>
        </w:rPr>
      </w:pPr>
      <w:r w:rsidRPr="005F45E3">
        <w:rPr>
          <w:rFonts w:eastAsia="Times New Roman" w:cs="Times New Roman"/>
          <w:b/>
          <w:bCs/>
          <w:color w:val="000000"/>
          <w:szCs w:val="24"/>
          <w:lang w:val="es-CO" w:eastAsia="es-ES"/>
        </w:rPr>
        <w:t>PABLO EMILIO MENDOZA VELILLA</w:t>
      </w:r>
    </w:p>
    <w:p w14:paraId="6C06441E" w14:textId="77777777" w:rsidR="005F45E3" w:rsidRPr="005F45E3" w:rsidRDefault="005F45E3" w:rsidP="005F45E3">
      <w:pPr>
        <w:rPr>
          <w:rFonts w:eastAsia="Times New Roman" w:cs="Times New Roman"/>
          <w:color w:val="000000"/>
          <w:szCs w:val="24"/>
          <w:lang w:eastAsia="es-ES"/>
        </w:rPr>
      </w:pPr>
      <w:r w:rsidRPr="005F45E3">
        <w:rPr>
          <w:rFonts w:eastAsia="Times New Roman" w:cs="Times New Roman"/>
          <w:color w:val="000000"/>
          <w:szCs w:val="24"/>
          <w:lang w:val="es-CO" w:eastAsia="es-ES"/>
        </w:rPr>
        <w:t>Subdirector de Gestión Normativa y Doctrina</w:t>
      </w:r>
    </w:p>
    <w:p w14:paraId="47701A73" w14:textId="15B4648A" w:rsidR="005F45E3" w:rsidRDefault="005F45E3" w:rsidP="005F45E3">
      <w:pPr>
        <w:rPr>
          <w:rFonts w:eastAsia="Times New Roman" w:cs="Times New Roman"/>
          <w:color w:val="000000"/>
          <w:szCs w:val="24"/>
          <w:lang w:val="es-CO" w:eastAsia="es-ES"/>
        </w:rPr>
      </w:pPr>
      <w:r w:rsidRPr="005F45E3">
        <w:rPr>
          <w:rFonts w:eastAsia="Times New Roman" w:cs="Times New Roman"/>
          <w:color w:val="000000"/>
          <w:szCs w:val="24"/>
          <w:lang w:val="es-CO" w:eastAsia="es-ES"/>
        </w:rPr>
        <w:t>Dirección de Gestión Jurídica</w:t>
      </w:r>
      <w:r>
        <w:rPr>
          <w:rFonts w:eastAsia="Times New Roman" w:cs="Times New Roman"/>
          <w:color w:val="000000"/>
          <w:szCs w:val="24"/>
          <w:lang w:val="es-CO" w:eastAsia="es-ES"/>
        </w:rPr>
        <w:t>.</w:t>
      </w:r>
    </w:p>
    <w:p w14:paraId="4481BD07" w14:textId="61482E38" w:rsidR="005F45E3" w:rsidRPr="005F45E3" w:rsidRDefault="005F45E3" w:rsidP="005F45E3">
      <w:pPr>
        <w:rPr>
          <w:rFonts w:eastAsia="Times New Roman" w:cs="Times New Roman"/>
          <w:color w:val="000000"/>
          <w:szCs w:val="24"/>
          <w:lang w:eastAsia="es-ES"/>
        </w:rPr>
      </w:pPr>
      <w:r>
        <w:rPr>
          <w:rFonts w:eastAsia="Times New Roman" w:cs="Times New Roman"/>
          <w:color w:val="000000"/>
          <w:szCs w:val="24"/>
          <w:lang w:val="es-CO" w:eastAsia="es-ES"/>
        </w:rPr>
        <w:t>_____________________________________________________________________________</w:t>
      </w:r>
    </w:p>
    <w:p w14:paraId="32B388D1" w14:textId="3C29EBA0" w:rsidR="005F45E3" w:rsidRDefault="005F45E3" w:rsidP="005F45E3">
      <w:pPr>
        <w:spacing w:after="285"/>
        <w:rPr>
          <w:rFonts w:eastAsia="Times New Roman" w:cs="Times New Roman"/>
          <w:color w:val="000000"/>
          <w:szCs w:val="24"/>
          <w:lang w:eastAsia="es-ES"/>
        </w:rPr>
      </w:pPr>
      <w:r w:rsidRPr="005F45E3">
        <w:rPr>
          <w:rFonts w:eastAsia="Times New Roman" w:cs="Times New Roman"/>
          <w:color w:val="000000"/>
          <w:szCs w:val="24"/>
          <w:lang w:eastAsia="es-ES"/>
        </w:rPr>
        <w:t> </w:t>
      </w:r>
    </w:p>
    <w:p w14:paraId="2F7F1D8D" w14:textId="17DBD8E8" w:rsidR="0018238E" w:rsidRPr="0018238E" w:rsidRDefault="0018238E" w:rsidP="0018238E">
      <w:pPr>
        <w:rPr>
          <w:rFonts w:eastAsia="Times New Roman" w:cs="Times New Roman"/>
          <w:szCs w:val="24"/>
          <w:lang w:eastAsia="es-ES"/>
        </w:rPr>
      </w:pPr>
      <w:r>
        <w:rPr>
          <w:rFonts w:eastAsia="Times New Roman" w:cs="Times New Roman"/>
          <w:color w:val="000000"/>
          <w:szCs w:val="24"/>
          <w:lang w:eastAsia="es-ES"/>
        </w:rPr>
        <w:t xml:space="preserve">Nota: el concepto No. </w:t>
      </w:r>
      <w:r w:rsidRPr="0018238E">
        <w:rPr>
          <w:rFonts w:eastAsia="Times New Roman" w:cs="Times New Roman"/>
          <w:b/>
          <w:bCs/>
          <w:szCs w:val="24"/>
          <w:lang w:val="es-CO" w:eastAsia="es-ES"/>
        </w:rPr>
        <w:t>CONCEPTO  100208221-000129</w:t>
      </w:r>
      <w:r>
        <w:rPr>
          <w:rFonts w:eastAsia="Times New Roman" w:cs="Times New Roman"/>
          <w:b/>
          <w:bCs/>
          <w:szCs w:val="24"/>
          <w:lang w:val="es-CO" w:eastAsia="es-ES"/>
        </w:rPr>
        <w:t xml:space="preserve"> del 5 de febrero de 2020. Se encuentra el la carpeta de febrero: “NORMAS VIGENTES EN FACTURACIÓN”. </w:t>
      </w:r>
    </w:p>
    <w:p w14:paraId="13852941" w14:textId="7CA37F29" w:rsidR="007F5CC8" w:rsidRPr="005F45E3" w:rsidRDefault="0018238E" w:rsidP="005F45E3">
      <w:pPr>
        <w:rPr>
          <w:rFonts w:cs="Times New Roman"/>
          <w:szCs w:val="24"/>
        </w:rPr>
      </w:pPr>
      <w:r>
        <w:rPr>
          <w:rFonts w:cs="Times New Roman"/>
          <w:szCs w:val="24"/>
        </w:rPr>
        <w:t>____________________________________________________________________________</w:t>
      </w:r>
    </w:p>
    <w:p w14:paraId="68A72FEB" w14:textId="77777777" w:rsidR="005F45E3" w:rsidRPr="005F45E3" w:rsidRDefault="005F45E3" w:rsidP="005F45E3">
      <w:pPr>
        <w:rPr>
          <w:rFonts w:cs="Times New Roman"/>
          <w:szCs w:val="24"/>
        </w:rPr>
      </w:pPr>
    </w:p>
    <w:sectPr w:rsidR="005F45E3" w:rsidRPr="005F45E3"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E3"/>
    <w:rsid w:val="0018238E"/>
    <w:rsid w:val="001E311E"/>
    <w:rsid w:val="00434AE6"/>
    <w:rsid w:val="005F45E3"/>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05B5"/>
  <w15:chartTrackingRefBased/>
  <w15:docId w15:val="{EF5495C9-DFEC-4C7B-BE54-EB2506AA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0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607" TargetMode="External"/><Relationship Id="rId13" Type="http://schemas.openxmlformats.org/officeDocument/2006/relationships/hyperlink" Target="https://www.ceta.org.co/html/vista_de_un_articulo.asp?Norma=761" TargetMode="External"/><Relationship Id="rId18" Type="http://schemas.openxmlformats.org/officeDocument/2006/relationships/hyperlink" Target="https://www.ceta.org.co/html/vista_de_un_articulo.asp?Norma=548"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957" TargetMode="External"/><Relationship Id="rId7" Type="http://schemas.openxmlformats.org/officeDocument/2006/relationships/hyperlink" Target="https://www.ceta.org.co/html/vista_de_un_articulo.asp?Norma=607" TargetMode="External"/><Relationship Id="rId12" Type="http://schemas.openxmlformats.org/officeDocument/2006/relationships/hyperlink" Target="https://www.ceta.org.co/html/vista_de_un_articulo.asp?Norma=957" TargetMode="External"/><Relationship Id="rId17" Type="http://schemas.openxmlformats.org/officeDocument/2006/relationships/hyperlink" Target="https://www.ceta.org.co/html/vista_de_un_articulo.asp?Norma=548" TargetMode="External"/><Relationship Id="rId2" Type="http://schemas.openxmlformats.org/officeDocument/2006/relationships/settings" Target="settings.xml"/><Relationship Id="rId16" Type="http://schemas.openxmlformats.org/officeDocument/2006/relationships/hyperlink" Target="https://www.ceta.org.co/html/vista_de_un_articulo.asp?Norma=761" TargetMode="External"/><Relationship Id="rId20" Type="http://schemas.openxmlformats.org/officeDocument/2006/relationships/hyperlink" Target="https://www.ceta.org.co/html/vista_de_un_articulo.asp?Norma=957" TargetMode="External"/><Relationship Id="rId1" Type="http://schemas.openxmlformats.org/officeDocument/2006/relationships/styles" Target="styles.xml"/><Relationship Id="rId6" Type="http://schemas.openxmlformats.org/officeDocument/2006/relationships/hyperlink" Target="https://www.ceta.org.co/html/vista_de_un_articulo.asp?Norma=957" TargetMode="External"/><Relationship Id="rId11" Type="http://schemas.openxmlformats.org/officeDocument/2006/relationships/hyperlink" Target="https://www.ceta.org.co/html/vista_de_un_articulo.asp?Norma=957" TargetMode="External"/><Relationship Id="rId24" Type="http://schemas.openxmlformats.org/officeDocument/2006/relationships/theme" Target="theme/theme1.xml"/><Relationship Id="rId5" Type="http://schemas.openxmlformats.org/officeDocument/2006/relationships/hyperlink" Target="https://www.ceta.org.co/html/vista_de_un_articulo.asp?Norma=614" TargetMode="External"/><Relationship Id="rId15" Type="http://schemas.openxmlformats.org/officeDocument/2006/relationships/hyperlink" Target="https://www.ceta.org.co/html/vista_de_un_articulo.asp?Norma=761" TargetMode="External"/><Relationship Id="rId23" Type="http://schemas.openxmlformats.org/officeDocument/2006/relationships/fontTable" Target="fontTable.xml"/><Relationship Id="rId10" Type="http://schemas.openxmlformats.org/officeDocument/2006/relationships/hyperlink" Target="https://www.ceta.org.co/html/vista_de_un_articulo.asp?Norma=614" TargetMode="External"/><Relationship Id="rId19" Type="http://schemas.openxmlformats.org/officeDocument/2006/relationships/hyperlink" Target="https://www.ceta.org.co/html/vista_de_un_articulo.asp?Norma=548" TargetMode="External"/><Relationship Id="rId4" Type="http://schemas.openxmlformats.org/officeDocument/2006/relationships/hyperlink" Target="https://www.ceta.org.co/html/vista_de_un_articulo.asp?Norma=607" TargetMode="External"/><Relationship Id="rId9" Type="http://schemas.openxmlformats.org/officeDocument/2006/relationships/hyperlink" Target="https://www.ceta.org.co/html/vista_de_un_articulo.asp?Norma=614" TargetMode="External"/><Relationship Id="rId14" Type="http://schemas.openxmlformats.org/officeDocument/2006/relationships/hyperlink" Target="https://www.ceta.org.co/html/vista_de_un_articulo.asp?Norma=762" TargetMode="External"/><Relationship Id="rId22" Type="http://schemas.openxmlformats.org/officeDocument/2006/relationships/hyperlink" Target="https://www.ceta.org.co/html/vista_de_un_articulo.asp?Norma=9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1573</Words>
  <Characters>8654</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2020-05-05T16:20:00Z</dcterms:created>
  <dcterms:modified xsi:type="dcterms:W3CDTF">2020-05-05T16:29:00Z</dcterms:modified>
</cp:coreProperties>
</file>