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909" w:rsidRPr="00495909" w:rsidRDefault="00495909" w:rsidP="00495909">
      <w:pPr>
        <w:spacing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  <w:r w:rsidRPr="00495909">
        <w:rPr>
          <w:rFonts w:ascii="Segoe UI" w:eastAsia="Times New Roman" w:hAnsi="Segoe UI" w:cs="Segoe UI"/>
          <w:b/>
          <w:bCs/>
          <w:sz w:val="28"/>
          <w:szCs w:val="28"/>
          <w:lang w:val="es-CO" w:eastAsia="es-ES"/>
        </w:rPr>
        <w:t xml:space="preserve">OFICIO </w:t>
      </w:r>
      <w:proofErr w:type="spellStart"/>
      <w:r w:rsidRPr="00495909">
        <w:rPr>
          <w:rFonts w:ascii="Segoe UI" w:eastAsia="Times New Roman" w:hAnsi="Segoe UI" w:cs="Segoe UI"/>
          <w:b/>
          <w:bCs/>
          <w:sz w:val="28"/>
          <w:szCs w:val="28"/>
          <w:lang w:val="es-CO" w:eastAsia="es-ES"/>
        </w:rPr>
        <w:t>Nº</w:t>
      </w:r>
      <w:proofErr w:type="spellEnd"/>
      <w:r w:rsidRPr="00495909">
        <w:rPr>
          <w:rFonts w:ascii="Segoe UI" w:eastAsia="Times New Roman" w:hAnsi="Segoe UI" w:cs="Segoe UI"/>
          <w:b/>
          <w:bCs/>
          <w:sz w:val="28"/>
          <w:szCs w:val="28"/>
          <w:lang w:val="es-CO" w:eastAsia="es-ES"/>
        </w:rPr>
        <w:t xml:space="preserve"> 0108 [002135]</w:t>
      </w:r>
    </w:p>
    <w:p w:rsidR="00495909" w:rsidRPr="00495909" w:rsidRDefault="00495909" w:rsidP="00495909">
      <w:pPr>
        <w:spacing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  <w:r w:rsidRPr="00495909">
        <w:rPr>
          <w:rFonts w:ascii="Segoe UI" w:eastAsia="Times New Roman" w:hAnsi="Segoe UI" w:cs="Segoe UI"/>
          <w:b/>
          <w:bCs/>
          <w:sz w:val="28"/>
          <w:szCs w:val="28"/>
          <w:lang w:val="es-CO" w:eastAsia="es-ES"/>
        </w:rPr>
        <w:t>03-02-2020</w:t>
      </w:r>
    </w:p>
    <w:p w:rsidR="00495909" w:rsidRPr="00495909" w:rsidRDefault="00495909" w:rsidP="00495909">
      <w:pPr>
        <w:spacing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  <w:r w:rsidRPr="00495909">
        <w:rPr>
          <w:rFonts w:ascii="Segoe UI" w:eastAsia="Times New Roman" w:hAnsi="Segoe UI" w:cs="Segoe UI"/>
          <w:b/>
          <w:bCs/>
          <w:sz w:val="28"/>
          <w:szCs w:val="28"/>
          <w:lang w:val="es-CO" w:eastAsia="es-ES"/>
        </w:rPr>
        <w:t>DIAN</w:t>
      </w:r>
    </w:p>
    <w:p w:rsidR="00495909" w:rsidRPr="00495909" w:rsidRDefault="00495909" w:rsidP="00495909">
      <w:pPr>
        <w:spacing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95909">
        <w:rPr>
          <w:rFonts w:ascii="Segoe UI" w:eastAsia="Times New Roman" w:hAnsi="Segoe UI" w:cs="Segoe UI"/>
          <w:sz w:val="18"/>
          <w:szCs w:val="18"/>
          <w:lang w:val="es-CO" w:eastAsia="es-ES"/>
        </w:rPr>
        <w:t> </w:t>
      </w:r>
    </w:p>
    <w:p w:rsidR="00495909" w:rsidRPr="00495909" w:rsidRDefault="00495909" w:rsidP="00495909">
      <w:pPr>
        <w:spacing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95909">
        <w:rPr>
          <w:rFonts w:ascii="Segoe UI" w:eastAsia="Times New Roman" w:hAnsi="Segoe UI" w:cs="Segoe UI"/>
          <w:sz w:val="18"/>
          <w:szCs w:val="18"/>
          <w:lang w:val="es-CO" w:eastAsia="es-ES"/>
        </w:rPr>
        <w:t> </w:t>
      </w:r>
      <w:bookmarkStart w:id="0" w:name="_GoBack"/>
      <w:bookmarkEnd w:id="0"/>
    </w:p>
    <w:p w:rsidR="00495909" w:rsidRPr="00495909" w:rsidRDefault="00495909" w:rsidP="00495909">
      <w:pPr>
        <w:spacing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95909">
        <w:rPr>
          <w:rFonts w:ascii="Segoe UI" w:eastAsia="Times New Roman" w:hAnsi="Segoe UI" w:cs="Segoe UI"/>
          <w:sz w:val="18"/>
          <w:szCs w:val="18"/>
          <w:lang w:val="es-CO" w:eastAsia="es-ES"/>
        </w:rPr>
        <w:t>Subdirección de Gestión Normativa y Doctrina</w:t>
      </w:r>
    </w:p>
    <w:p w:rsidR="00495909" w:rsidRPr="00495909" w:rsidRDefault="00495909" w:rsidP="00495909">
      <w:pPr>
        <w:spacing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95909">
        <w:rPr>
          <w:rFonts w:ascii="Segoe UI" w:eastAsia="Times New Roman" w:hAnsi="Segoe UI" w:cs="Segoe UI"/>
          <w:sz w:val="18"/>
          <w:szCs w:val="18"/>
          <w:lang w:val="es-CO" w:eastAsia="es-ES"/>
        </w:rPr>
        <w:t>Bogotá, D.C.</w:t>
      </w:r>
    </w:p>
    <w:p w:rsidR="00495909" w:rsidRPr="00495909" w:rsidRDefault="00495909" w:rsidP="00495909">
      <w:pPr>
        <w:spacing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95909">
        <w:rPr>
          <w:rFonts w:ascii="Segoe UI" w:eastAsia="Times New Roman" w:hAnsi="Segoe UI" w:cs="Segoe UI"/>
          <w:sz w:val="18"/>
          <w:szCs w:val="18"/>
          <w:lang w:val="es-CO" w:eastAsia="es-ES"/>
        </w:rPr>
        <w:t>100208221-000108</w:t>
      </w:r>
    </w:p>
    <w:p w:rsidR="00495909" w:rsidRPr="00495909" w:rsidRDefault="00495909" w:rsidP="00495909">
      <w:pPr>
        <w:spacing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95909">
        <w:rPr>
          <w:rFonts w:ascii="Segoe UI" w:eastAsia="Times New Roman" w:hAnsi="Segoe UI" w:cs="Segoe UI"/>
          <w:sz w:val="18"/>
          <w:szCs w:val="18"/>
          <w:lang w:val="es-CO" w:eastAsia="es-ES"/>
        </w:rPr>
        <w:t> </w:t>
      </w:r>
    </w:p>
    <w:p w:rsidR="00495909" w:rsidRPr="00495909" w:rsidRDefault="00495909" w:rsidP="00495909">
      <w:pPr>
        <w:spacing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proofErr w:type="spellStart"/>
      <w:r w:rsidRPr="00495909">
        <w:rPr>
          <w:rFonts w:ascii="Segoe UI" w:eastAsia="Times New Roman" w:hAnsi="Segoe UI" w:cs="Segoe UI"/>
          <w:b/>
          <w:bCs/>
          <w:sz w:val="18"/>
          <w:szCs w:val="18"/>
          <w:lang w:val="es-CO" w:eastAsia="es-ES"/>
        </w:rPr>
        <w:t>Ref</w:t>
      </w:r>
      <w:proofErr w:type="spellEnd"/>
      <w:r w:rsidRPr="00495909">
        <w:rPr>
          <w:rFonts w:ascii="Segoe UI" w:eastAsia="Times New Roman" w:hAnsi="Segoe UI" w:cs="Segoe UI"/>
          <w:b/>
          <w:bCs/>
          <w:sz w:val="18"/>
          <w:szCs w:val="18"/>
          <w:lang w:val="es-CO" w:eastAsia="es-ES"/>
        </w:rPr>
        <w:t>:</w:t>
      </w:r>
      <w:r w:rsidRPr="00495909">
        <w:rPr>
          <w:rFonts w:ascii="Segoe UI" w:eastAsia="Times New Roman" w:hAnsi="Segoe UI" w:cs="Segoe UI"/>
          <w:sz w:val="18"/>
          <w:szCs w:val="18"/>
          <w:lang w:val="es-CO" w:eastAsia="es-ES"/>
        </w:rPr>
        <w:t> Radicado 100110881 del 20/12/2019</w:t>
      </w:r>
    </w:p>
    <w:p w:rsidR="00495909" w:rsidRPr="00495909" w:rsidRDefault="00495909" w:rsidP="00495909">
      <w:pPr>
        <w:spacing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95909">
        <w:rPr>
          <w:rFonts w:ascii="Segoe UI" w:eastAsia="Times New Roman" w:hAnsi="Segoe UI" w:cs="Segoe UI"/>
          <w:sz w:val="18"/>
          <w:szCs w:val="18"/>
          <w:lang w:val="es-CO" w:eastAsia="es-E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271"/>
        <w:gridCol w:w="271"/>
        <w:gridCol w:w="5392"/>
      </w:tblGrid>
      <w:tr w:rsidR="00495909" w:rsidRPr="00495909" w:rsidTr="004959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909" w:rsidRPr="00495909" w:rsidRDefault="00495909" w:rsidP="00495909">
            <w:pPr>
              <w:spacing w:line="240" w:lineRule="auto"/>
              <w:rPr>
                <w:rFonts w:ascii="Arial" w:eastAsia="Times New Roman" w:hAnsi="Arial" w:cs="Arial"/>
                <w:szCs w:val="24"/>
                <w:lang w:eastAsia="es-ES"/>
              </w:rPr>
            </w:pPr>
            <w:r w:rsidRPr="00495909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es-CO" w:eastAsia="es-ES"/>
              </w:rPr>
              <w:t>Tema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909" w:rsidRPr="00495909" w:rsidRDefault="00495909" w:rsidP="00495909">
            <w:pPr>
              <w:spacing w:line="240" w:lineRule="auto"/>
              <w:rPr>
                <w:rFonts w:ascii="Arial" w:eastAsia="Times New Roman" w:hAnsi="Arial" w:cs="Arial"/>
                <w:szCs w:val="24"/>
                <w:lang w:eastAsia="es-ES"/>
              </w:rPr>
            </w:pPr>
            <w:r w:rsidRPr="00495909">
              <w:rPr>
                <w:rFonts w:ascii="Segoe UI" w:eastAsia="Times New Roman" w:hAnsi="Segoe UI" w:cs="Segoe UI"/>
                <w:sz w:val="20"/>
                <w:szCs w:val="20"/>
                <w:lang w:val="es-CO"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909" w:rsidRPr="00495909" w:rsidRDefault="00495909" w:rsidP="00495909">
            <w:pPr>
              <w:spacing w:line="240" w:lineRule="auto"/>
              <w:rPr>
                <w:rFonts w:ascii="Arial" w:eastAsia="Times New Roman" w:hAnsi="Arial" w:cs="Arial"/>
                <w:szCs w:val="24"/>
                <w:lang w:eastAsia="es-ES"/>
              </w:rPr>
            </w:pPr>
            <w:r w:rsidRPr="00495909">
              <w:rPr>
                <w:rFonts w:ascii="Segoe UI" w:eastAsia="Times New Roman" w:hAnsi="Segoe UI" w:cs="Segoe UI"/>
                <w:sz w:val="20"/>
                <w:szCs w:val="20"/>
                <w:lang w:val="es-CO"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909" w:rsidRPr="00495909" w:rsidRDefault="00495909" w:rsidP="00495909">
            <w:pPr>
              <w:spacing w:line="240" w:lineRule="auto"/>
              <w:rPr>
                <w:rFonts w:ascii="Arial" w:eastAsia="Times New Roman" w:hAnsi="Arial" w:cs="Arial"/>
                <w:szCs w:val="24"/>
                <w:lang w:eastAsia="es-ES"/>
              </w:rPr>
            </w:pPr>
            <w:r w:rsidRPr="00495909">
              <w:rPr>
                <w:rFonts w:ascii="Segoe UI" w:eastAsia="Times New Roman" w:hAnsi="Segoe UI" w:cs="Segoe UI"/>
                <w:sz w:val="20"/>
                <w:szCs w:val="20"/>
                <w:lang w:val="es-CO" w:eastAsia="es-ES"/>
              </w:rPr>
              <w:t>Procedimiento Tributario</w:t>
            </w:r>
          </w:p>
        </w:tc>
      </w:tr>
      <w:tr w:rsidR="00495909" w:rsidRPr="00495909" w:rsidTr="004959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909" w:rsidRPr="00495909" w:rsidRDefault="00495909" w:rsidP="00495909">
            <w:pPr>
              <w:spacing w:line="240" w:lineRule="auto"/>
              <w:rPr>
                <w:rFonts w:ascii="Arial" w:eastAsia="Times New Roman" w:hAnsi="Arial" w:cs="Arial"/>
                <w:szCs w:val="24"/>
                <w:lang w:eastAsia="es-ES"/>
              </w:rPr>
            </w:pPr>
            <w:r w:rsidRPr="00495909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es-CO" w:eastAsia="es-ES"/>
              </w:rPr>
              <w:t>Descriptores</w:t>
            </w:r>
          </w:p>
          <w:p w:rsidR="00495909" w:rsidRPr="00495909" w:rsidRDefault="00495909" w:rsidP="00495909">
            <w:pPr>
              <w:spacing w:line="240" w:lineRule="auto"/>
              <w:rPr>
                <w:rFonts w:ascii="Arial" w:eastAsia="Times New Roman" w:hAnsi="Arial" w:cs="Arial"/>
                <w:szCs w:val="24"/>
                <w:lang w:eastAsia="es-ES"/>
              </w:rPr>
            </w:pPr>
            <w:r w:rsidRPr="00495909">
              <w:rPr>
                <w:rFonts w:ascii="Segoe UI" w:eastAsia="Times New Roman" w:hAnsi="Segoe UI" w:cs="Segoe UI"/>
                <w:sz w:val="20"/>
                <w:szCs w:val="20"/>
                <w:lang w:val="es-CO"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909" w:rsidRPr="00495909" w:rsidRDefault="00495909" w:rsidP="00495909">
            <w:pPr>
              <w:spacing w:line="240" w:lineRule="auto"/>
              <w:rPr>
                <w:rFonts w:ascii="Arial" w:eastAsia="Times New Roman" w:hAnsi="Arial" w:cs="Arial"/>
                <w:szCs w:val="24"/>
                <w:lang w:eastAsia="es-ES"/>
              </w:rPr>
            </w:pPr>
            <w:r w:rsidRPr="00495909">
              <w:rPr>
                <w:rFonts w:ascii="Segoe UI" w:eastAsia="Times New Roman" w:hAnsi="Segoe UI" w:cs="Segoe UI"/>
                <w:sz w:val="20"/>
                <w:szCs w:val="20"/>
                <w:lang w:val="es-CO"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909" w:rsidRPr="00495909" w:rsidRDefault="00495909" w:rsidP="00495909">
            <w:pPr>
              <w:spacing w:line="240" w:lineRule="auto"/>
              <w:rPr>
                <w:rFonts w:ascii="Arial" w:eastAsia="Times New Roman" w:hAnsi="Arial" w:cs="Arial"/>
                <w:szCs w:val="24"/>
                <w:lang w:eastAsia="es-ES"/>
              </w:rPr>
            </w:pPr>
            <w:r w:rsidRPr="00495909">
              <w:rPr>
                <w:rFonts w:ascii="Segoe UI" w:eastAsia="Times New Roman" w:hAnsi="Segoe UI" w:cs="Segoe UI"/>
                <w:sz w:val="20"/>
                <w:szCs w:val="20"/>
                <w:lang w:val="es-CO"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909" w:rsidRPr="00495909" w:rsidRDefault="00495909" w:rsidP="00495909">
            <w:pPr>
              <w:spacing w:line="240" w:lineRule="auto"/>
              <w:rPr>
                <w:rFonts w:ascii="Arial" w:eastAsia="Times New Roman" w:hAnsi="Arial" w:cs="Arial"/>
                <w:szCs w:val="24"/>
                <w:lang w:eastAsia="es-ES"/>
              </w:rPr>
            </w:pPr>
            <w:r w:rsidRPr="00495909">
              <w:rPr>
                <w:rFonts w:ascii="Segoe UI" w:eastAsia="Times New Roman" w:hAnsi="Segoe UI" w:cs="Segoe UI"/>
                <w:sz w:val="20"/>
                <w:szCs w:val="20"/>
                <w:lang w:val="es-CO" w:eastAsia="es-ES"/>
              </w:rPr>
              <w:t>Deberes Formales del Contribuyente</w:t>
            </w:r>
          </w:p>
          <w:p w:rsidR="00495909" w:rsidRPr="00495909" w:rsidRDefault="00495909" w:rsidP="00495909">
            <w:pPr>
              <w:spacing w:line="240" w:lineRule="auto"/>
              <w:rPr>
                <w:rFonts w:ascii="Arial" w:eastAsia="Times New Roman" w:hAnsi="Arial" w:cs="Arial"/>
                <w:szCs w:val="24"/>
                <w:lang w:eastAsia="es-ES"/>
              </w:rPr>
            </w:pPr>
            <w:r w:rsidRPr="00495909">
              <w:rPr>
                <w:rFonts w:ascii="Segoe UI" w:eastAsia="Times New Roman" w:hAnsi="Segoe UI" w:cs="Segoe UI"/>
                <w:sz w:val="20"/>
                <w:szCs w:val="20"/>
                <w:lang w:val="es-CO" w:eastAsia="es-ES"/>
              </w:rPr>
              <w:t xml:space="preserve">Información del Contribuyente para Cruces de </w:t>
            </w:r>
            <w:r w:rsidRPr="00495909">
              <w:rPr>
                <w:rFonts w:ascii="Segoe UI" w:eastAsia="Times New Roman" w:hAnsi="Segoe UI" w:cs="Segoe UI"/>
                <w:sz w:val="20"/>
                <w:szCs w:val="20"/>
                <w:lang w:val="es-CO" w:eastAsia="es-ES"/>
              </w:rPr>
              <w:t>información</w:t>
            </w:r>
          </w:p>
        </w:tc>
      </w:tr>
      <w:tr w:rsidR="00495909" w:rsidRPr="00495909" w:rsidTr="004959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909" w:rsidRPr="00495909" w:rsidRDefault="00495909" w:rsidP="00495909">
            <w:pPr>
              <w:spacing w:line="240" w:lineRule="auto"/>
              <w:rPr>
                <w:rFonts w:ascii="Arial" w:eastAsia="Times New Roman" w:hAnsi="Arial" w:cs="Arial"/>
                <w:szCs w:val="24"/>
                <w:lang w:eastAsia="es-ES"/>
              </w:rPr>
            </w:pPr>
            <w:r w:rsidRPr="00495909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es-CO" w:eastAsia="es-ES"/>
              </w:rPr>
              <w:t>Fuentes formales</w:t>
            </w:r>
          </w:p>
          <w:p w:rsidR="00495909" w:rsidRPr="00495909" w:rsidRDefault="00495909" w:rsidP="00495909">
            <w:pPr>
              <w:spacing w:line="240" w:lineRule="auto"/>
              <w:rPr>
                <w:rFonts w:ascii="Arial" w:eastAsia="Times New Roman" w:hAnsi="Arial" w:cs="Arial"/>
                <w:szCs w:val="24"/>
                <w:lang w:eastAsia="es-ES"/>
              </w:rPr>
            </w:pPr>
            <w:r w:rsidRPr="00495909">
              <w:rPr>
                <w:rFonts w:ascii="Segoe UI" w:eastAsia="Times New Roman" w:hAnsi="Segoe UI" w:cs="Segoe UI"/>
                <w:sz w:val="20"/>
                <w:szCs w:val="20"/>
                <w:lang w:val="es-CO"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909" w:rsidRPr="00495909" w:rsidRDefault="00495909" w:rsidP="00495909">
            <w:pPr>
              <w:spacing w:line="240" w:lineRule="auto"/>
              <w:rPr>
                <w:rFonts w:ascii="Arial" w:eastAsia="Times New Roman" w:hAnsi="Arial" w:cs="Arial"/>
                <w:szCs w:val="24"/>
                <w:lang w:eastAsia="es-ES"/>
              </w:rPr>
            </w:pPr>
            <w:r w:rsidRPr="00495909">
              <w:rPr>
                <w:rFonts w:ascii="Segoe UI" w:eastAsia="Times New Roman" w:hAnsi="Segoe UI" w:cs="Segoe UI"/>
                <w:sz w:val="20"/>
                <w:szCs w:val="20"/>
                <w:lang w:val="es-CO"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909" w:rsidRPr="00495909" w:rsidRDefault="00495909" w:rsidP="00495909">
            <w:pPr>
              <w:spacing w:line="240" w:lineRule="auto"/>
              <w:rPr>
                <w:rFonts w:ascii="Arial" w:eastAsia="Times New Roman" w:hAnsi="Arial" w:cs="Arial"/>
                <w:szCs w:val="24"/>
                <w:lang w:eastAsia="es-ES"/>
              </w:rPr>
            </w:pPr>
            <w:r w:rsidRPr="00495909">
              <w:rPr>
                <w:rFonts w:ascii="Segoe UI" w:eastAsia="Times New Roman" w:hAnsi="Segoe UI" w:cs="Segoe UI"/>
                <w:sz w:val="20"/>
                <w:szCs w:val="20"/>
                <w:lang w:val="es-CO"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909" w:rsidRPr="00495909" w:rsidRDefault="00495909" w:rsidP="00495909">
            <w:pPr>
              <w:spacing w:line="240" w:lineRule="auto"/>
              <w:rPr>
                <w:rFonts w:ascii="Arial" w:eastAsia="Times New Roman" w:hAnsi="Arial" w:cs="Arial"/>
                <w:szCs w:val="24"/>
                <w:lang w:eastAsia="es-ES"/>
              </w:rPr>
            </w:pPr>
            <w:r w:rsidRPr="00495909">
              <w:rPr>
                <w:rFonts w:ascii="Segoe UI" w:eastAsia="Times New Roman" w:hAnsi="Segoe UI" w:cs="Segoe UI"/>
                <w:sz w:val="20"/>
                <w:szCs w:val="20"/>
                <w:lang w:val="es-CO" w:eastAsia="es-ES"/>
              </w:rPr>
              <w:t>Estatuto Tributario artículos </w:t>
            </w:r>
            <w:hyperlink r:id="rId4" w:tooltip="Estatuto Tributario CETA" w:history="1">
              <w:r w:rsidRPr="00495909">
                <w:rPr>
                  <w:rFonts w:ascii="Segoe UI" w:eastAsia="Times New Roman" w:hAnsi="Segoe UI" w:cs="Segoe UI"/>
                  <w:sz w:val="20"/>
                  <w:szCs w:val="20"/>
                  <w:lang w:val="es-CO" w:eastAsia="es-ES"/>
                </w:rPr>
                <w:t>631</w:t>
              </w:r>
            </w:hyperlink>
            <w:r w:rsidRPr="00495909">
              <w:rPr>
                <w:rFonts w:ascii="Segoe UI" w:eastAsia="Times New Roman" w:hAnsi="Segoe UI" w:cs="Segoe UI"/>
                <w:sz w:val="20"/>
                <w:szCs w:val="20"/>
                <w:lang w:val="es-CO" w:eastAsia="es-ES"/>
              </w:rPr>
              <w:t>, </w:t>
            </w:r>
            <w:hyperlink r:id="rId5" w:tooltip="Estatuto Tributario CETA" w:history="1">
              <w:r w:rsidRPr="00495909">
                <w:rPr>
                  <w:rFonts w:ascii="Segoe UI" w:eastAsia="Times New Roman" w:hAnsi="Segoe UI" w:cs="Segoe UI"/>
                  <w:sz w:val="20"/>
                  <w:szCs w:val="20"/>
                  <w:lang w:val="es-CO" w:eastAsia="es-ES"/>
                </w:rPr>
                <w:t>631-2</w:t>
              </w:r>
            </w:hyperlink>
          </w:p>
          <w:p w:rsidR="00495909" w:rsidRPr="00495909" w:rsidRDefault="00495909" w:rsidP="00495909">
            <w:pPr>
              <w:spacing w:line="240" w:lineRule="auto"/>
              <w:rPr>
                <w:rFonts w:ascii="Arial" w:eastAsia="Times New Roman" w:hAnsi="Arial" w:cs="Arial"/>
                <w:szCs w:val="24"/>
                <w:lang w:eastAsia="es-ES"/>
              </w:rPr>
            </w:pPr>
            <w:r w:rsidRPr="00495909">
              <w:rPr>
                <w:rFonts w:ascii="Segoe UI" w:eastAsia="Times New Roman" w:hAnsi="Segoe UI" w:cs="Segoe UI"/>
                <w:sz w:val="20"/>
                <w:szCs w:val="20"/>
                <w:lang w:val="es-CO" w:eastAsia="es-ES"/>
              </w:rPr>
              <w:t>Resolución 60 de 2017, Resolución 45 de 2018</w:t>
            </w:r>
          </w:p>
        </w:tc>
      </w:tr>
    </w:tbl>
    <w:p w:rsidR="00495909" w:rsidRPr="00495909" w:rsidRDefault="00495909" w:rsidP="00495909">
      <w:pPr>
        <w:spacing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95909">
        <w:rPr>
          <w:rFonts w:ascii="Segoe UI" w:eastAsia="Times New Roman" w:hAnsi="Segoe UI" w:cs="Segoe UI"/>
          <w:sz w:val="18"/>
          <w:szCs w:val="18"/>
          <w:lang w:val="es-CO" w:eastAsia="es-ES"/>
        </w:rPr>
        <w:t> </w:t>
      </w:r>
    </w:p>
    <w:p w:rsidR="00495909" w:rsidRPr="00495909" w:rsidRDefault="00495909" w:rsidP="00495909">
      <w:pPr>
        <w:spacing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95909">
        <w:rPr>
          <w:rFonts w:ascii="Segoe UI" w:eastAsia="Times New Roman" w:hAnsi="Segoe UI" w:cs="Segoe UI"/>
          <w:sz w:val="18"/>
          <w:szCs w:val="18"/>
          <w:lang w:val="es-CO" w:eastAsia="es-ES"/>
        </w:rPr>
        <w:t> </w:t>
      </w:r>
    </w:p>
    <w:p w:rsidR="00495909" w:rsidRPr="00495909" w:rsidRDefault="00495909" w:rsidP="00495909">
      <w:pPr>
        <w:spacing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95909">
        <w:rPr>
          <w:rFonts w:ascii="Segoe UI" w:eastAsia="Times New Roman" w:hAnsi="Segoe UI" w:cs="Segoe UI"/>
          <w:sz w:val="18"/>
          <w:szCs w:val="18"/>
          <w:lang w:val="es-CO" w:eastAsia="es-ES"/>
        </w:rPr>
        <w:t>De conformidad con el artículo 20 del Decreto 4048 de 2008, este Despacho está facultado para absolver las consultas escritas que se formulen sobre la interpretación y aplicación de las normas tributarias, aduaneras y cambiarias, en el marco de las competencias de la Dirección de Impuestos y Aduanas Nacionales.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:rsidR="00495909" w:rsidRPr="00495909" w:rsidRDefault="00495909" w:rsidP="00495909">
      <w:pPr>
        <w:spacing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95909">
        <w:rPr>
          <w:rFonts w:ascii="Segoe UI" w:eastAsia="Times New Roman" w:hAnsi="Segoe UI" w:cs="Segoe UI"/>
          <w:sz w:val="18"/>
          <w:szCs w:val="18"/>
          <w:lang w:val="es-CO" w:eastAsia="es-ES"/>
        </w:rPr>
        <w:t> </w:t>
      </w:r>
    </w:p>
    <w:p w:rsidR="00495909" w:rsidRPr="00495909" w:rsidRDefault="00495909" w:rsidP="00495909">
      <w:pPr>
        <w:spacing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95909">
        <w:rPr>
          <w:rFonts w:ascii="Segoe UI" w:eastAsia="Times New Roman" w:hAnsi="Segoe UI" w:cs="Segoe UI"/>
          <w:sz w:val="18"/>
          <w:szCs w:val="18"/>
          <w:lang w:val="es-CO" w:eastAsia="es-ES"/>
        </w:rPr>
        <w:t>Mediante el radicado de la referencia, la peticionaria consulta si las personas naturales obligadas a suministrar información, de conformidad con el parágrafo 3° del artículo 1° de la Resolución 045 de agosto de 2018, la cual modificó la Resolución 060 de 2017 ¿deben presentar información únicamente respecto de los ingresos, costos y deducciones asociados a dichas rentas y no en relación con el patrimonio?</w:t>
      </w:r>
    </w:p>
    <w:p w:rsidR="00495909" w:rsidRPr="00495909" w:rsidRDefault="00495909" w:rsidP="00495909">
      <w:pPr>
        <w:spacing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95909">
        <w:rPr>
          <w:rFonts w:ascii="Segoe UI" w:eastAsia="Times New Roman" w:hAnsi="Segoe UI" w:cs="Segoe UI"/>
          <w:sz w:val="18"/>
          <w:szCs w:val="18"/>
          <w:lang w:val="es-CO" w:eastAsia="es-ES"/>
        </w:rPr>
        <w:t> </w:t>
      </w:r>
    </w:p>
    <w:p w:rsidR="00495909" w:rsidRPr="00495909" w:rsidRDefault="00495909" w:rsidP="00495909">
      <w:pPr>
        <w:spacing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95909">
        <w:rPr>
          <w:rFonts w:ascii="Segoe UI" w:eastAsia="Times New Roman" w:hAnsi="Segoe UI" w:cs="Segoe UI"/>
          <w:sz w:val="18"/>
          <w:szCs w:val="18"/>
          <w:lang w:val="es-CO" w:eastAsia="es-ES"/>
        </w:rPr>
        <w:t>Sobre el particular, las consideraciones de este Despacho son las siguientes:</w:t>
      </w:r>
    </w:p>
    <w:p w:rsidR="00495909" w:rsidRPr="00495909" w:rsidRDefault="00495909" w:rsidP="00495909">
      <w:pPr>
        <w:spacing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95909">
        <w:rPr>
          <w:rFonts w:ascii="Segoe UI" w:eastAsia="Times New Roman" w:hAnsi="Segoe UI" w:cs="Segoe UI"/>
          <w:sz w:val="18"/>
          <w:szCs w:val="18"/>
          <w:lang w:val="es-CO" w:eastAsia="es-ES"/>
        </w:rPr>
        <w:t> </w:t>
      </w:r>
    </w:p>
    <w:p w:rsidR="00495909" w:rsidRPr="00495909" w:rsidRDefault="00495909" w:rsidP="00495909">
      <w:pPr>
        <w:spacing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95909">
        <w:rPr>
          <w:rFonts w:ascii="Segoe UI" w:eastAsia="Times New Roman" w:hAnsi="Segoe UI" w:cs="Segoe UI"/>
          <w:sz w:val="18"/>
          <w:szCs w:val="18"/>
          <w:lang w:val="es-CO" w:eastAsia="es-ES"/>
        </w:rPr>
        <w:t>En primer lugar, los artículos </w:t>
      </w:r>
      <w:hyperlink r:id="rId6" w:tooltip="Estatuto Tributario CETA" w:history="1">
        <w:r w:rsidRPr="00495909">
          <w:rPr>
            <w:rFonts w:ascii="Segoe UI" w:eastAsia="Times New Roman" w:hAnsi="Segoe UI" w:cs="Segoe UI"/>
            <w:sz w:val="18"/>
            <w:szCs w:val="18"/>
            <w:lang w:val="es-CO" w:eastAsia="es-ES"/>
          </w:rPr>
          <w:t>631</w:t>
        </w:r>
      </w:hyperlink>
      <w:r w:rsidRPr="00495909">
        <w:rPr>
          <w:rFonts w:ascii="Segoe UI" w:eastAsia="Times New Roman" w:hAnsi="Segoe UI" w:cs="Segoe UI"/>
          <w:sz w:val="18"/>
          <w:szCs w:val="18"/>
          <w:lang w:val="es-CO" w:eastAsia="es-ES"/>
        </w:rPr>
        <w:t> y </w:t>
      </w:r>
      <w:hyperlink r:id="rId7" w:tooltip="Estatuto Tributario CETA" w:history="1">
        <w:r w:rsidRPr="00495909">
          <w:rPr>
            <w:rFonts w:ascii="Segoe UI" w:eastAsia="Times New Roman" w:hAnsi="Segoe UI" w:cs="Segoe UI"/>
            <w:sz w:val="18"/>
            <w:szCs w:val="18"/>
            <w:lang w:val="es-CO" w:eastAsia="es-ES"/>
          </w:rPr>
          <w:t>631-2</w:t>
        </w:r>
      </w:hyperlink>
      <w:r w:rsidRPr="00495909">
        <w:rPr>
          <w:rFonts w:ascii="Segoe UI" w:eastAsia="Times New Roman" w:hAnsi="Segoe UI" w:cs="Segoe UI"/>
          <w:sz w:val="18"/>
          <w:szCs w:val="18"/>
          <w:lang w:val="es-CO" w:eastAsia="es-ES"/>
        </w:rPr>
        <w:t> del Estatuto Tributario establecen que el Director de Impuestos y Aduanas Nacionales podrá solicitar información a todas las personas, contribuyentes y no contribuyentes, para cruces de información necesarios para el debido control de los impuestos y obligaciones bajo su competencia.</w:t>
      </w:r>
    </w:p>
    <w:p w:rsidR="00495909" w:rsidRPr="00495909" w:rsidRDefault="00495909" w:rsidP="00495909">
      <w:pPr>
        <w:spacing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95909">
        <w:rPr>
          <w:rFonts w:ascii="Segoe UI" w:eastAsia="Times New Roman" w:hAnsi="Segoe UI" w:cs="Segoe UI"/>
          <w:sz w:val="18"/>
          <w:szCs w:val="18"/>
          <w:lang w:val="es-CO" w:eastAsia="es-ES"/>
        </w:rPr>
        <w:t> </w:t>
      </w:r>
    </w:p>
    <w:p w:rsidR="00495909" w:rsidRPr="00495909" w:rsidRDefault="00495909" w:rsidP="00495909">
      <w:pPr>
        <w:spacing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95909">
        <w:rPr>
          <w:rFonts w:ascii="Segoe UI" w:eastAsia="Times New Roman" w:hAnsi="Segoe UI" w:cs="Segoe UI"/>
          <w:sz w:val="18"/>
          <w:szCs w:val="18"/>
          <w:lang w:val="es-CO" w:eastAsia="es-ES"/>
        </w:rPr>
        <w:t>En razón a lo anterior, anualmente el Director General expide la Resolución que fija los obligados, características y plazos de la información a suministrar.</w:t>
      </w:r>
    </w:p>
    <w:p w:rsidR="00495909" w:rsidRPr="00495909" w:rsidRDefault="00495909" w:rsidP="00495909">
      <w:pPr>
        <w:spacing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95909">
        <w:rPr>
          <w:rFonts w:ascii="Segoe UI" w:eastAsia="Times New Roman" w:hAnsi="Segoe UI" w:cs="Segoe UI"/>
          <w:sz w:val="18"/>
          <w:szCs w:val="18"/>
          <w:lang w:val="es-CO" w:eastAsia="es-ES"/>
        </w:rPr>
        <w:t> </w:t>
      </w:r>
    </w:p>
    <w:p w:rsidR="00495909" w:rsidRPr="00495909" w:rsidRDefault="00495909" w:rsidP="00495909">
      <w:pPr>
        <w:spacing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95909">
        <w:rPr>
          <w:rFonts w:ascii="Segoe UI" w:eastAsia="Times New Roman" w:hAnsi="Segoe UI" w:cs="Segoe UI"/>
          <w:sz w:val="18"/>
          <w:szCs w:val="18"/>
          <w:lang w:val="es-CO" w:eastAsia="es-ES"/>
        </w:rPr>
        <w:t>Así las cosas, la Resolución No. 60 de octubre 30 de 2017, modificada parcialmente por la Resolución 45 de 22 de agosto de 2018, dispuso el grupo de obligados a suministrar información tributaria a la DIAN, por el año gravable 2018, señalando el contenido, características técnicas para la presentación y se (sic) fijando los plazos para su entrega.</w:t>
      </w:r>
    </w:p>
    <w:p w:rsidR="00495909" w:rsidRPr="00495909" w:rsidRDefault="00495909" w:rsidP="00495909">
      <w:pPr>
        <w:spacing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95909">
        <w:rPr>
          <w:rFonts w:ascii="Segoe UI" w:eastAsia="Times New Roman" w:hAnsi="Segoe UI" w:cs="Segoe UI"/>
          <w:sz w:val="18"/>
          <w:szCs w:val="18"/>
          <w:lang w:val="es-CO" w:eastAsia="es-ES"/>
        </w:rPr>
        <w:t> </w:t>
      </w:r>
    </w:p>
    <w:p w:rsidR="00495909" w:rsidRPr="00495909" w:rsidRDefault="00495909" w:rsidP="00495909">
      <w:pPr>
        <w:spacing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95909">
        <w:rPr>
          <w:rFonts w:ascii="Segoe UI" w:eastAsia="Times New Roman" w:hAnsi="Segoe UI" w:cs="Segoe UI"/>
          <w:sz w:val="18"/>
          <w:szCs w:val="18"/>
          <w:lang w:val="es-CO" w:eastAsia="es-ES"/>
        </w:rPr>
        <w:t>Mencionada Resolución dispuso en el artículo 1 lo siguiente:</w:t>
      </w:r>
    </w:p>
    <w:p w:rsidR="00495909" w:rsidRPr="00495909" w:rsidRDefault="00495909" w:rsidP="00495909">
      <w:pPr>
        <w:spacing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95909">
        <w:rPr>
          <w:rFonts w:ascii="Segoe UI" w:eastAsia="Times New Roman" w:hAnsi="Segoe UI" w:cs="Segoe UI"/>
          <w:sz w:val="18"/>
          <w:szCs w:val="18"/>
          <w:lang w:val="es-CO" w:eastAsia="es-ES"/>
        </w:rPr>
        <w:t> </w:t>
      </w:r>
    </w:p>
    <w:p w:rsidR="00495909" w:rsidRPr="00495909" w:rsidRDefault="00495909" w:rsidP="00495909">
      <w:pPr>
        <w:spacing w:line="240" w:lineRule="auto"/>
        <w:ind w:left="284"/>
        <w:rPr>
          <w:rFonts w:ascii="Arial" w:eastAsia="Times New Roman" w:hAnsi="Arial" w:cs="Arial"/>
          <w:sz w:val="18"/>
          <w:szCs w:val="18"/>
          <w:lang w:eastAsia="es-ES"/>
        </w:rPr>
      </w:pPr>
      <w:r w:rsidRPr="00495909">
        <w:rPr>
          <w:rFonts w:ascii="Segoe UI" w:eastAsia="Times New Roman" w:hAnsi="Segoe UI" w:cs="Segoe UI"/>
          <w:i/>
          <w:iCs/>
          <w:sz w:val="18"/>
          <w:szCs w:val="18"/>
          <w:lang w:val="es-CO" w:eastAsia="es-ES"/>
        </w:rPr>
        <w:t>"</w:t>
      </w:r>
      <w:r w:rsidRPr="00495909">
        <w:rPr>
          <w:rFonts w:ascii="Segoe UI" w:eastAsia="Times New Roman" w:hAnsi="Segoe UI" w:cs="Segoe UI"/>
          <w:b/>
          <w:bCs/>
          <w:i/>
          <w:iCs/>
          <w:sz w:val="18"/>
          <w:szCs w:val="18"/>
          <w:lang w:val="es-CO" w:eastAsia="es-ES"/>
        </w:rPr>
        <w:t>Artículo 1. Sujetos obligados a presentar información exógena por el año gravable 2018.</w:t>
      </w:r>
    </w:p>
    <w:p w:rsidR="00495909" w:rsidRPr="00495909" w:rsidRDefault="00495909" w:rsidP="00495909">
      <w:pPr>
        <w:spacing w:line="240" w:lineRule="auto"/>
        <w:ind w:left="284"/>
        <w:rPr>
          <w:rFonts w:ascii="Arial" w:eastAsia="Times New Roman" w:hAnsi="Arial" w:cs="Arial"/>
          <w:sz w:val="18"/>
          <w:szCs w:val="18"/>
          <w:lang w:eastAsia="es-ES"/>
        </w:rPr>
      </w:pPr>
      <w:r w:rsidRPr="00495909">
        <w:rPr>
          <w:rFonts w:ascii="Segoe UI" w:eastAsia="Times New Roman" w:hAnsi="Segoe UI" w:cs="Segoe UI"/>
          <w:i/>
          <w:iCs/>
          <w:sz w:val="18"/>
          <w:szCs w:val="18"/>
          <w:lang w:val="es-CO" w:eastAsia="es-ES"/>
        </w:rPr>
        <w:t>Deberán suministrar información, los siguientes obligados:</w:t>
      </w:r>
    </w:p>
    <w:p w:rsidR="00495909" w:rsidRPr="00495909" w:rsidRDefault="00495909" w:rsidP="00495909">
      <w:pPr>
        <w:spacing w:line="240" w:lineRule="auto"/>
        <w:ind w:left="284"/>
        <w:rPr>
          <w:rFonts w:ascii="Arial" w:eastAsia="Times New Roman" w:hAnsi="Arial" w:cs="Arial"/>
          <w:sz w:val="18"/>
          <w:szCs w:val="18"/>
          <w:lang w:eastAsia="es-ES"/>
        </w:rPr>
      </w:pPr>
      <w:r w:rsidRPr="00495909">
        <w:rPr>
          <w:rFonts w:ascii="Segoe UI" w:eastAsia="Times New Roman" w:hAnsi="Segoe UI" w:cs="Segoe UI"/>
          <w:sz w:val="18"/>
          <w:szCs w:val="18"/>
          <w:lang w:val="es-CO" w:eastAsia="es-ES"/>
        </w:rPr>
        <w:t> </w:t>
      </w:r>
    </w:p>
    <w:p w:rsidR="00495909" w:rsidRPr="00495909" w:rsidRDefault="00495909" w:rsidP="00495909">
      <w:pPr>
        <w:spacing w:line="240" w:lineRule="auto"/>
        <w:ind w:left="284"/>
        <w:rPr>
          <w:rFonts w:ascii="Arial" w:eastAsia="Times New Roman" w:hAnsi="Arial" w:cs="Arial"/>
          <w:sz w:val="18"/>
          <w:szCs w:val="18"/>
          <w:lang w:eastAsia="es-ES"/>
        </w:rPr>
      </w:pPr>
      <w:r w:rsidRPr="00495909">
        <w:rPr>
          <w:rFonts w:ascii="Segoe UI" w:eastAsia="Times New Roman" w:hAnsi="Segoe UI" w:cs="Segoe UI"/>
          <w:i/>
          <w:iCs/>
          <w:sz w:val="18"/>
          <w:szCs w:val="18"/>
          <w:lang w:val="es-CO" w:eastAsia="es-ES"/>
        </w:rPr>
        <w:t>(...)</w:t>
      </w:r>
    </w:p>
    <w:p w:rsidR="00495909" w:rsidRPr="00495909" w:rsidRDefault="00495909" w:rsidP="00495909">
      <w:pPr>
        <w:spacing w:line="240" w:lineRule="auto"/>
        <w:ind w:left="284"/>
        <w:rPr>
          <w:rFonts w:ascii="Arial" w:eastAsia="Times New Roman" w:hAnsi="Arial" w:cs="Arial"/>
          <w:sz w:val="18"/>
          <w:szCs w:val="18"/>
          <w:lang w:eastAsia="es-ES"/>
        </w:rPr>
      </w:pPr>
      <w:r w:rsidRPr="00495909">
        <w:rPr>
          <w:rFonts w:ascii="Segoe UI" w:eastAsia="Times New Roman" w:hAnsi="Segoe UI" w:cs="Segoe UI"/>
          <w:i/>
          <w:iCs/>
          <w:sz w:val="18"/>
          <w:szCs w:val="18"/>
          <w:lang w:val="es-CO" w:eastAsia="es-ES"/>
        </w:rPr>
        <w:t>d) Las personas naturales y sus asimiladas que en el año gravable 2016 hayan obtenido ingresos brutos superiores a quinientos millones de pesos (500.000.000) y que en el año gravable 2018 la suma de los ingresos brutos obtenidos por rentas de capital y rentas no laborales superen los cien millones de pesos (100.000.000).</w:t>
      </w:r>
    </w:p>
    <w:p w:rsidR="00495909" w:rsidRPr="00495909" w:rsidRDefault="00495909" w:rsidP="00495909">
      <w:pPr>
        <w:spacing w:line="240" w:lineRule="auto"/>
        <w:ind w:left="284"/>
        <w:rPr>
          <w:rFonts w:ascii="Arial" w:eastAsia="Times New Roman" w:hAnsi="Arial" w:cs="Arial"/>
          <w:sz w:val="18"/>
          <w:szCs w:val="18"/>
          <w:lang w:eastAsia="es-ES"/>
        </w:rPr>
      </w:pPr>
      <w:r w:rsidRPr="00495909">
        <w:rPr>
          <w:rFonts w:ascii="Segoe UI" w:eastAsia="Times New Roman" w:hAnsi="Segoe UI" w:cs="Segoe UI"/>
          <w:i/>
          <w:iCs/>
          <w:sz w:val="18"/>
          <w:szCs w:val="18"/>
          <w:lang w:val="es-CO" w:eastAsia="es-ES"/>
        </w:rPr>
        <w:t xml:space="preserve">f) Las personas naturales y sus asimiladas que perciban rentas de capital y no laborales, las personas jurídicas y sus asimiladas, entidades públicas y privadas, y demás obligados a practicar retenciones y </w:t>
      </w:r>
      <w:proofErr w:type="spellStart"/>
      <w:r w:rsidRPr="00495909">
        <w:rPr>
          <w:rFonts w:ascii="Segoe UI" w:eastAsia="Times New Roman" w:hAnsi="Segoe UI" w:cs="Segoe UI"/>
          <w:i/>
          <w:iCs/>
          <w:sz w:val="18"/>
          <w:szCs w:val="18"/>
          <w:lang w:val="es-CO" w:eastAsia="es-ES"/>
        </w:rPr>
        <w:t>autorretencíones</w:t>
      </w:r>
      <w:proofErr w:type="spellEnd"/>
      <w:r w:rsidRPr="00495909">
        <w:rPr>
          <w:rFonts w:ascii="Segoe UI" w:eastAsia="Times New Roman" w:hAnsi="Segoe UI" w:cs="Segoe UI"/>
          <w:i/>
          <w:iCs/>
          <w:sz w:val="18"/>
          <w:szCs w:val="18"/>
          <w:lang w:val="es-CO" w:eastAsia="es-ES"/>
        </w:rPr>
        <w:t xml:space="preserve"> en la fuente a título del impuesto sobre la renta, impuesto sobre las ventas (IVA) y Timbre, durante el año gravable 2018.</w:t>
      </w:r>
    </w:p>
    <w:p w:rsidR="00495909" w:rsidRPr="00495909" w:rsidRDefault="00495909" w:rsidP="00495909">
      <w:pPr>
        <w:spacing w:line="240" w:lineRule="auto"/>
        <w:ind w:left="284"/>
        <w:rPr>
          <w:rFonts w:ascii="Arial" w:eastAsia="Times New Roman" w:hAnsi="Arial" w:cs="Arial"/>
          <w:sz w:val="18"/>
          <w:szCs w:val="18"/>
          <w:lang w:eastAsia="es-ES"/>
        </w:rPr>
      </w:pPr>
      <w:r w:rsidRPr="00495909">
        <w:rPr>
          <w:rFonts w:ascii="Segoe UI" w:eastAsia="Times New Roman" w:hAnsi="Segoe UI" w:cs="Segoe UI"/>
          <w:i/>
          <w:iCs/>
          <w:sz w:val="18"/>
          <w:szCs w:val="18"/>
          <w:lang w:val="es-CO" w:eastAsia="es-ES"/>
        </w:rPr>
        <w:t>(...)</w:t>
      </w:r>
    </w:p>
    <w:p w:rsidR="00495909" w:rsidRPr="00495909" w:rsidRDefault="00495909" w:rsidP="00495909">
      <w:pPr>
        <w:spacing w:line="240" w:lineRule="auto"/>
        <w:ind w:left="284"/>
        <w:rPr>
          <w:rFonts w:ascii="Arial" w:eastAsia="Times New Roman" w:hAnsi="Arial" w:cs="Arial"/>
          <w:sz w:val="18"/>
          <w:szCs w:val="18"/>
          <w:lang w:eastAsia="es-ES"/>
        </w:rPr>
      </w:pPr>
      <w:r w:rsidRPr="00495909">
        <w:rPr>
          <w:rFonts w:ascii="Segoe UI" w:eastAsia="Times New Roman" w:hAnsi="Segoe UI" w:cs="Segoe UI"/>
          <w:b/>
          <w:bCs/>
          <w:i/>
          <w:iCs/>
          <w:sz w:val="18"/>
          <w:szCs w:val="18"/>
          <w:lang w:val="es-CO" w:eastAsia="es-ES"/>
        </w:rPr>
        <w:t>PARÁGRAFO 3. Las personas naturales y asimiladas enunciadas en el literal d) y f) del presente artículo están obligadas a suministrar la información respecto de las rentas de capital y las rentas no laborales."</w:t>
      </w:r>
    </w:p>
    <w:p w:rsidR="00495909" w:rsidRPr="00495909" w:rsidRDefault="00495909" w:rsidP="00495909">
      <w:pPr>
        <w:spacing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95909">
        <w:rPr>
          <w:rFonts w:ascii="Segoe UI" w:eastAsia="Times New Roman" w:hAnsi="Segoe UI" w:cs="Segoe UI"/>
          <w:b/>
          <w:bCs/>
          <w:i/>
          <w:iCs/>
          <w:sz w:val="18"/>
          <w:szCs w:val="18"/>
          <w:lang w:val="es-CO" w:eastAsia="es-ES"/>
        </w:rPr>
        <w:t> </w:t>
      </w:r>
    </w:p>
    <w:p w:rsidR="00495909" w:rsidRPr="00495909" w:rsidRDefault="00495909" w:rsidP="00495909">
      <w:pPr>
        <w:spacing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95909">
        <w:rPr>
          <w:rFonts w:ascii="Segoe UI" w:eastAsia="Times New Roman" w:hAnsi="Segoe UI" w:cs="Segoe UI"/>
          <w:sz w:val="18"/>
          <w:szCs w:val="18"/>
          <w:lang w:val="es-CO" w:eastAsia="es-ES"/>
        </w:rPr>
        <w:t>Por consiguiente, es claro que </w:t>
      </w:r>
      <w:r w:rsidRPr="00495909">
        <w:rPr>
          <w:rFonts w:ascii="Segoe UI" w:eastAsia="Times New Roman" w:hAnsi="Segoe UI" w:cs="Segoe UI"/>
          <w:b/>
          <w:bCs/>
          <w:sz w:val="18"/>
          <w:szCs w:val="18"/>
          <w:lang w:val="es-CO" w:eastAsia="es-ES"/>
        </w:rPr>
        <w:t>la información que deben suministrar las personas naturales y asimiladas enunciadas en el literal d) y f), es únicamente la referida a las rentas de capital y las rentas no laborales</w:t>
      </w:r>
    </w:p>
    <w:p w:rsidR="00495909" w:rsidRPr="00495909" w:rsidRDefault="00495909" w:rsidP="00495909">
      <w:pPr>
        <w:spacing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95909">
        <w:rPr>
          <w:rFonts w:ascii="Segoe UI" w:eastAsia="Times New Roman" w:hAnsi="Segoe UI" w:cs="Segoe UI"/>
          <w:b/>
          <w:bCs/>
          <w:sz w:val="18"/>
          <w:szCs w:val="18"/>
          <w:lang w:val="es-CO" w:eastAsia="es-ES"/>
        </w:rPr>
        <w:t> </w:t>
      </w:r>
    </w:p>
    <w:p w:rsidR="00495909" w:rsidRPr="00495909" w:rsidRDefault="00495909" w:rsidP="00495909">
      <w:pPr>
        <w:spacing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95909">
        <w:rPr>
          <w:rFonts w:ascii="Segoe UI" w:eastAsia="Times New Roman" w:hAnsi="Segoe UI" w:cs="Segoe UI"/>
          <w:sz w:val="18"/>
          <w:szCs w:val="18"/>
          <w:lang w:val="es-CO" w:eastAsia="es-ES"/>
        </w:rPr>
        <w:t>De otro lado, </w:t>
      </w:r>
      <w:r w:rsidRPr="00495909">
        <w:rPr>
          <w:rFonts w:ascii="Segoe UI" w:eastAsia="Times New Roman" w:hAnsi="Segoe UI" w:cs="Segoe UI"/>
          <w:b/>
          <w:bCs/>
          <w:sz w:val="18"/>
          <w:szCs w:val="18"/>
          <w:lang w:val="es-CO" w:eastAsia="es-ES"/>
        </w:rPr>
        <w:t>las personas naturales, que percibieron ingresos diferentes a rentas de capital y rentas no laborales en el año gravable 2018, no están obligadas a entregar información exógena del mismo año respecto a los literales d) y f).</w:t>
      </w:r>
    </w:p>
    <w:p w:rsidR="00495909" w:rsidRPr="00495909" w:rsidRDefault="00495909" w:rsidP="00495909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495909">
        <w:rPr>
          <w:rFonts w:ascii="Segoe UI" w:eastAsia="Times New Roman" w:hAnsi="Segoe UI" w:cs="Segoe UI"/>
          <w:sz w:val="18"/>
          <w:szCs w:val="18"/>
          <w:lang w:val="es-CO" w:eastAsia="es-ES"/>
        </w:rPr>
        <w:t> </w:t>
      </w:r>
      <w:r w:rsidRPr="00495909">
        <w:rPr>
          <w:rFonts w:eastAsia="Times New Roman" w:cs="Times New Roman"/>
          <w:szCs w:val="24"/>
          <w:lang w:val="es-CO" w:eastAsia="es-ES"/>
        </w:rPr>
        <w:t>Atentamente,</w:t>
      </w:r>
    </w:p>
    <w:p w:rsidR="00495909" w:rsidRPr="00495909" w:rsidRDefault="00495909" w:rsidP="00495909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495909">
        <w:rPr>
          <w:rFonts w:eastAsia="Times New Roman" w:cs="Times New Roman"/>
          <w:szCs w:val="24"/>
          <w:lang w:val="es-CO" w:eastAsia="es-ES"/>
        </w:rPr>
        <w:t> </w:t>
      </w:r>
    </w:p>
    <w:p w:rsidR="00495909" w:rsidRPr="00495909" w:rsidRDefault="00495909" w:rsidP="00495909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495909">
        <w:rPr>
          <w:rFonts w:eastAsia="Times New Roman" w:cs="Times New Roman"/>
          <w:szCs w:val="24"/>
          <w:lang w:val="es-CO" w:eastAsia="es-ES"/>
        </w:rPr>
        <w:lastRenderedPageBreak/>
        <w:t> </w:t>
      </w:r>
    </w:p>
    <w:p w:rsidR="00495909" w:rsidRPr="00495909" w:rsidRDefault="00495909" w:rsidP="00495909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495909">
        <w:rPr>
          <w:rFonts w:eastAsia="Times New Roman" w:cs="Times New Roman"/>
          <w:b/>
          <w:bCs/>
          <w:szCs w:val="24"/>
          <w:lang w:val="es-CO" w:eastAsia="es-ES"/>
        </w:rPr>
        <w:t>PABLO EMILIO MENDOZA VELILLA</w:t>
      </w:r>
    </w:p>
    <w:p w:rsidR="00495909" w:rsidRPr="00495909" w:rsidRDefault="00495909" w:rsidP="00495909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495909">
        <w:rPr>
          <w:rFonts w:eastAsia="Times New Roman" w:cs="Times New Roman"/>
          <w:szCs w:val="24"/>
          <w:lang w:val="es-CO" w:eastAsia="es-ES"/>
        </w:rPr>
        <w:t>Subdirector de gestión Normativa y Doctrina</w:t>
      </w:r>
    </w:p>
    <w:p w:rsidR="00495909" w:rsidRPr="00495909" w:rsidRDefault="00495909" w:rsidP="00495909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495909">
        <w:rPr>
          <w:rFonts w:eastAsia="Times New Roman" w:cs="Times New Roman"/>
          <w:szCs w:val="24"/>
          <w:lang w:val="es-CO" w:eastAsia="es-ES"/>
        </w:rPr>
        <w:t>Dirección de Gestión Jurídica</w:t>
      </w:r>
    </w:p>
    <w:p w:rsidR="00495909" w:rsidRPr="00495909" w:rsidRDefault="00495909" w:rsidP="00495909">
      <w:pPr>
        <w:spacing w:line="240" w:lineRule="auto"/>
        <w:rPr>
          <w:rFonts w:eastAsia="Times New Roman" w:cs="Times New Roman"/>
          <w:szCs w:val="24"/>
          <w:lang w:val="es-CO" w:eastAsia="es-ES"/>
        </w:rPr>
      </w:pPr>
      <w:r w:rsidRPr="00495909">
        <w:rPr>
          <w:rFonts w:eastAsia="Times New Roman" w:cs="Times New Roman"/>
          <w:szCs w:val="24"/>
          <w:lang w:val="es-CO" w:eastAsia="es-ES"/>
        </w:rPr>
        <w:t>UAE-Dirección de Impuestos y Aduanas Nacionales</w:t>
      </w:r>
    </w:p>
    <w:p w:rsidR="00495909" w:rsidRPr="00495909" w:rsidRDefault="00495909" w:rsidP="00495909">
      <w:pPr>
        <w:spacing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95909">
        <w:rPr>
          <w:rFonts w:ascii="Arial" w:eastAsia="Times New Roman" w:hAnsi="Arial" w:cs="Arial"/>
          <w:sz w:val="18"/>
          <w:szCs w:val="18"/>
          <w:lang w:eastAsia="es-ES"/>
        </w:rPr>
        <w:t>_____________________________________________________________________________________________</w:t>
      </w:r>
    </w:p>
    <w:sectPr w:rsidR="00495909" w:rsidRPr="00495909" w:rsidSect="00434AE6">
      <w:type w:val="continuous"/>
      <w:pgSz w:w="12191" w:h="18711"/>
      <w:pgMar w:top="1134" w:right="1134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09"/>
    <w:rsid w:val="001E311E"/>
    <w:rsid w:val="00434AE6"/>
    <w:rsid w:val="00495909"/>
    <w:rsid w:val="007F5CC8"/>
    <w:rsid w:val="0087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8EF4"/>
  <w15:chartTrackingRefBased/>
  <w15:docId w15:val="{FC3E9EDE-3703-4700-95DD-33B0ECA0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2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eta.org.co/html/vista_de_un_articulo.asp?Norma=1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ta.org.co/html/vista_de_un_articulo.asp?Norma=783" TargetMode="External"/><Relationship Id="rId5" Type="http://schemas.openxmlformats.org/officeDocument/2006/relationships/hyperlink" Target="https://www.ceta.org.co/html/vista_de_un_articulo.asp?Norma=12020" TargetMode="External"/><Relationship Id="rId4" Type="http://schemas.openxmlformats.org/officeDocument/2006/relationships/hyperlink" Target="https://www.ceta.org.co/html/vista_de_un_articulo.asp?Norma=78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705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CNETCO</dc:creator>
  <cp:keywords/>
  <dc:description/>
  <cp:lastModifiedBy>CNETCO</cp:lastModifiedBy>
  <cp:revision>1</cp:revision>
  <dcterms:created xsi:type="dcterms:W3CDTF">2020-04-08T21:37:00Z</dcterms:created>
  <dcterms:modified xsi:type="dcterms:W3CDTF">2020-04-08T21:42:00Z</dcterms:modified>
</cp:coreProperties>
</file>