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2B3B" w14:textId="77777777" w:rsidR="005F12B3" w:rsidRPr="005F12B3" w:rsidRDefault="005F12B3" w:rsidP="005F12B3">
      <w:pPr>
        <w:spacing w:line="240" w:lineRule="auto"/>
        <w:rPr>
          <w:rFonts w:eastAsia="Times New Roman" w:cs="Times New Roman"/>
          <w:szCs w:val="24"/>
          <w:lang w:val="es-CO" w:eastAsia="es-ES"/>
        </w:rPr>
      </w:pPr>
    </w:p>
    <w:p w14:paraId="3F084482" w14:textId="77777777" w:rsidR="005F12B3" w:rsidRPr="005F12B3" w:rsidRDefault="005F12B3" w:rsidP="005F12B3">
      <w:pPr>
        <w:spacing w:line="240" w:lineRule="auto"/>
        <w:rPr>
          <w:rFonts w:eastAsia="Times New Roman" w:cs="Times New Roman"/>
          <w:szCs w:val="24"/>
          <w:lang w:val="es-CO" w:eastAsia="es-ES"/>
        </w:rPr>
      </w:pPr>
    </w:p>
    <w:p w14:paraId="3B391368" w14:textId="77777777" w:rsidR="005F12B3" w:rsidRPr="005F12B3" w:rsidRDefault="005F12B3" w:rsidP="005F12B3">
      <w:pPr>
        <w:spacing w:line="240" w:lineRule="auto"/>
        <w:rPr>
          <w:rFonts w:eastAsia="Times New Roman" w:cs="Times New Roman"/>
          <w:szCs w:val="24"/>
          <w:lang w:val="es-CO" w:eastAsia="es-ES"/>
        </w:rPr>
      </w:pPr>
    </w:p>
    <w:p w14:paraId="17AA5101" w14:textId="77777777" w:rsidR="005F12B3" w:rsidRPr="005F12B3" w:rsidRDefault="005F12B3" w:rsidP="005F12B3">
      <w:pPr>
        <w:spacing w:line="240" w:lineRule="auto"/>
        <w:jc w:val="center"/>
        <w:rPr>
          <w:rFonts w:eastAsia="Times New Roman" w:cs="Times New Roman"/>
          <w:szCs w:val="24"/>
          <w:lang w:eastAsia="es-ES"/>
        </w:rPr>
      </w:pPr>
      <w:r w:rsidRPr="005F12B3">
        <w:rPr>
          <w:rFonts w:eastAsia="Times New Roman" w:cs="Times New Roman"/>
          <w:b/>
          <w:bCs/>
          <w:szCs w:val="24"/>
          <w:lang w:val="es-CO" w:eastAsia="es-ES"/>
        </w:rPr>
        <w:t xml:space="preserve">OFICIO </w:t>
      </w:r>
      <w:proofErr w:type="spellStart"/>
      <w:r w:rsidRPr="005F12B3">
        <w:rPr>
          <w:rFonts w:eastAsia="Times New Roman" w:cs="Times New Roman"/>
          <w:b/>
          <w:bCs/>
          <w:szCs w:val="24"/>
          <w:lang w:val="es-CO" w:eastAsia="es-ES"/>
        </w:rPr>
        <w:t>Nº</w:t>
      </w:r>
      <w:proofErr w:type="spellEnd"/>
      <w:r w:rsidRPr="005F12B3">
        <w:rPr>
          <w:rFonts w:eastAsia="Times New Roman" w:cs="Times New Roman"/>
          <w:b/>
          <w:bCs/>
          <w:szCs w:val="24"/>
          <w:lang w:val="es-CO" w:eastAsia="es-ES"/>
        </w:rPr>
        <w:t xml:space="preserve"> 0095 [001979]</w:t>
      </w:r>
    </w:p>
    <w:p w14:paraId="7BF24D21" w14:textId="77777777" w:rsidR="005F12B3" w:rsidRPr="005F12B3" w:rsidRDefault="005F12B3" w:rsidP="005F12B3">
      <w:pPr>
        <w:spacing w:line="240" w:lineRule="auto"/>
        <w:jc w:val="center"/>
        <w:rPr>
          <w:rFonts w:eastAsia="Times New Roman" w:cs="Times New Roman"/>
          <w:szCs w:val="24"/>
          <w:lang w:eastAsia="es-ES"/>
        </w:rPr>
      </w:pPr>
      <w:r w:rsidRPr="005F12B3">
        <w:rPr>
          <w:rFonts w:eastAsia="Times New Roman" w:cs="Times New Roman"/>
          <w:b/>
          <w:bCs/>
          <w:szCs w:val="24"/>
          <w:lang w:val="es-CO" w:eastAsia="es-ES"/>
        </w:rPr>
        <w:t>31-01-2020</w:t>
      </w:r>
    </w:p>
    <w:p w14:paraId="1985ECEB" w14:textId="77777777" w:rsidR="005F12B3" w:rsidRPr="005F12B3" w:rsidRDefault="005F12B3" w:rsidP="005F12B3">
      <w:pPr>
        <w:spacing w:line="240" w:lineRule="auto"/>
        <w:jc w:val="center"/>
        <w:rPr>
          <w:rFonts w:eastAsia="Times New Roman" w:cs="Times New Roman"/>
          <w:szCs w:val="24"/>
          <w:lang w:eastAsia="es-ES"/>
        </w:rPr>
      </w:pPr>
      <w:r w:rsidRPr="005F12B3">
        <w:rPr>
          <w:rFonts w:eastAsia="Times New Roman" w:cs="Times New Roman"/>
          <w:b/>
          <w:bCs/>
          <w:szCs w:val="24"/>
          <w:lang w:val="es-CO" w:eastAsia="es-ES"/>
        </w:rPr>
        <w:t>DIAN</w:t>
      </w:r>
    </w:p>
    <w:p w14:paraId="41DEA5A6"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1585A693"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43542401"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Subdirección de Gestión Normativa y Doctrina</w:t>
      </w:r>
    </w:p>
    <w:p w14:paraId="0DF60299"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Bogotá, D.C.</w:t>
      </w:r>
    </w:p>
    <w:p w14:paraId="31CE5EF5"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100208221-000095</w:t>
      </w:r>
    </w:p>
    <w:p w14:paraId="551D9965"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6B92A0F7" w14:textId="77777777" w:rsidR="005F12B3" w:rsidRPr="005F12B3" w:rsidRDefault="005F12B3" w:rsidP="005F12B3">
      <w:pPr>
        <w:spacing w:line="240" w:lineRule="auto"/>
        <w:rPr>
          <w:rFonts w:eastAsia="Times New Roman" w:cs="Times New Roman"/>
          <w:szCs w:val="24"/>
          <w:lang w:eastAsia="es-ES"/>
        </w:rPr>
      </w:pPr>
      <w:proofErr w:type="spellStart"/>
      <w:r w:rsidRPr="005F12B3">
        <w:rPr>
          <w:rFonts w:eastAsia="Times New Roman" w:cs="Times New Roman"/>
          <w:b/>
          <w:bCs/>
          <w:szCs w:val="24"/>
          <w:lang w:val="es-CO" w:eastAsia="es-ES"/>
        </w:rPr>
        <w:t>Ref</w:t>
      </w:r>
      <w:proofErr w:type="spellEnd"/>
      <w:r w:rsidRPr="005F12B3">
        <w:rPr>
          <w:rFonts w:eastAsia="Times New Roman" w:cs="Times New Roman"/>
          <w:b/>
          <w:bCs/>
          <w:szCs w:val="24"/>
          <w:lang w:val="es-CO" w:eastAsia="es-ES"/>
        </w:rPr>
        <w:t>:</w:t>
      </w:r>
      <w:r w:rsidRPr="005F12B3">
        <w:rPr>
          <w:rFonts w:eastAsia="Times New Roman" w:cs="Times New Roman"/>
          <w:szCs w:val="24"/>
          <w:lang w:val="es-CO" w:eastAsia="es-ES"/>
        </w:rPr>
        <w:t> Radicado 5988 del 13/12/2019</w:t>
      </w:r>
    </w:p>
    <w:p w14:paraId="7336056F"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tbl>
      <w:tblPr>
        <w:tblW w:w="0" w:type="auto"/>
        <w:tblCellMar>
          <w:left w:w="0" w:type="dxa"/>
          <w:right w:w="0" w:type="dxa"/>
        </w:tblCellMar>
        <w:tblLook w:val="04A0" w:firstRow="1" w:lastRow="0" w:firstColumn="1" w:lastColumn="0" w:noHBand="0" w:noVBand="1"/>
      </w:tblPr>
      <w:tblGrid>
        <w:gridCol w:w="1969"/>
        <w:gridCol w:w="276"/>
        <w:gridCol w:w="276"/>
        <w:gridCol w:w="4429"/>
      </w:tblGrid>
      <w:tr w:rsidR="005F12B3" w:rsidRPr="005F12B3" w14:paraId="3B51F862" w14:textId="77777777" w:rsidTr="005F12B3">
        <w:tc>
          <w:tcPr>
            <w:tcW w:w="0" w:type="auto"/>
            <w:tcBorders>
              <w:top w:val="nil"/>
              <w:left w:val="nil"/>
              <w:bottom w:val="nil"/>
              <w:right w:val="nil"/>
            </w:tcBorders>
            <w:shd w:val="clear" w:color="auto" w:fill="auto"/>
            <w:tcMar>
              <w:top w:w="0" w:type="dxa"/>
              <w:left w:w="108" w:type="dxa"/>
              <w:bottom w:w="0" w:type="dxa"/>
              <w:right w:w="108" w:type="dxa"/>
            </w:tcMar>
            <w:hideMark/>
          </w:tcPr>
          <w:p w14:paraId="7A7B6E21"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b/>
                <w:bCs/>
                <w:szCs w:val="24"/>
                <w:lang w:val="es-CO" w:eastAsia="es-ES"/>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C3CDD19"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5FB04AF"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9EFB07A"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Impuesto a las ventas</w:t>
            </w:r>
          </w:p>
        </w:tc>
      </w:tr>
      <w:tr w:rsidR="005F12B3" w:rsidRPr="005F12B3" w14:paraId="53B5F438" w14:textId="77777777" w:rsidTr="005F12B3">
        <w:tc>
          <w:tcPr>
            <w:tcW w:w="0" w:type="auto"/>
            <w:tcBorders>
              <w:top w:val="nil"/>
              <w:left w:val="nil"/>
              <w:bottom w:val="nil"/>
              <w:right w:val="nil"/>
            </w:tcBorders>
            <w:shd w:val="clear" w:color="auto" w:fill="auto"/>
            <w:tcMar>
              <w:top w:w="0" w:type="dxa"/>
              <w:left w:w="108" w:type="dxa"/>
              <w:bottom w:w="0" w:type="dxa"/>
              <w:right w:w="108" w:type="dxa"/>
            </w:tcMar>
            <w:hideMark/>
          </w:tcPr>
          <w:p w14:paraId="52B2AD0E"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b/>
                <w:bCs/>
                <w:szCs w:val="24"/>
                <w:lang w:val="es-CO" w:eastAsia="es-ES"/>
              </w:rPr>
              <w:t>Descriptores</w:t>
            </w:r>
          </w:p>
          <w:p w14:paraId="2BA5C9AE"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236D8A7"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D223A3C"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520F926"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Servicios de Educación</w:t>
            </w:r>
          </w:p>
          <w:p w14:paraId="5D02E91D"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Servicios Excluidos</w:t>
            </w:r>
          </w:p>
        </w:tc>
      </w:tr>
      <w:tr w:rsidR="005F12B3" w:rsidRPr="005F12B3" w14:paraId="63A6CC65" w14:textId="77777777" w:rsidTr="005F12B3">
        <w:tc>
          <w:tcPr>
            <w:tcW w:w="0" w:type="auto"/>
            <w:tcBorders>
              <w:top w:val="nil"/>
              <w:left w:val="nil"/>
              <w:bottom w:val="nil"/>
              <w:right w:val="nil"/>
            </w:tcBorders>
            <w:shd w:val="clear" w:color="auto" w:fill="auto"/>
            <w:tcMar>
              <w:top w:w="0" w:type="dxa"/>
              <w:left w:w="108" w:type="dxa"/>
              <w:bottom w:w="0" w:type="dxa"/>
              <w:right w:w="108" w:type="dxa"/>
            </w:tcMar>
            <w:hideMark/>
          </w:tcPr>
          <w:p w14:paraId="0666FDC3"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b/>
                <w:bCs/>
                <w:szCs w:val="24"/>
                <w:lang w:val="es-CO" w:eastAsia="es-ES"/>
              </w:rPr>
              <w:t>Fuentes formales</w:t>
            </w:r>
          </w:p>
          <w:p w14:paraId="3821C728"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2E20E8B"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554A923"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BE977DD" w14:textId="77777777" w:rsidR="005F12B3" w:rsidRPr="005F12B3" w:rsidRDefault="005D651F" w:rsidP="005F12B3">
            <w:pPr>
              <w:spacing w:line="240" w:lineRule="auto"/>
              <w:rPr>
                <w:rFonts w:eastAsia="Times New Roman" w:cs="Times New Roman"/>
                <w:szCs w:val="24"/>
                <w:lang w:eastAsia="es-ES"/>
              </w:rPr>
            </w:pPr>
            <w:hyperlink r:id="rId4" w:history="1">
              <w:r w:rsidR="005F12B3" w:rsidRPr="005F12B3">
                <w:rPr>
                  <w:rFonts w:eastAsia="Times New Roman" w:cs="Times New Roman"/>
                  <w:szCs w:val="24"/>
                  <w:lang w:val="es-CO" w:eastAsia="es-ES"/>
                </w:rPr>
                <w:t>Artículo 476 </w:t>
              </w:r>
            </w:hyperlink>
            <w:r w:rsidR="005F12B3" w:rsidRPr="005F12B3">
              <w:rPr>
                <w:rFonts w:eastAsia="Times New Roman" w:cs="Times New Roman"/>
                <w:szCs w:val="24"/>
                <w:lang w:val="es-CO" w:eastAsia="es-ES"/>
              </w:rPr>
              <w:t>del Estatuto Tributario</w:t>
            </w:r>
          </w:p>
          <w:p w14:paraId="16A82318"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Ley 115 de 1994</w:t>
            </w:r>
          </w:p>
          <w:p w14:paraId="4B56FFF9"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Artículos 2.6.2.2. del Decreto 1075 de 2015</w:t>
            </w:r>
          </w:p>
        </w:tc>
      </w:tr>
    </w:tbl>
    <w:p w14:paraId="10FC2FD6"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35C3E2DC"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36E2DBA7"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Cordial saludo, señora Jenny Marisela.</w:t>
      </w:r>
    </w:p>
    <w:p w14:paraId="38116551"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0E68B17D"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616DD2D0"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4D3D5D90"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A través del escrito de la referencia, se ha dado traslado a este Despacho de la consulta respecto al servicio de cursos de simulador para helicópteros Mi - 17, que incluye capacitación, instrucción y enseñanza técnica y avanzada para tripulaciones, y si este se encuentra excluido del impuesto sobre las ventas, de conformidad con el </w:t>
      </w:r>
      <w:hyperlink r:id="rId5" w:tooltip="Estatuto Tributario CETA" w:history="1">
        <w:r w:rsidRPr="005F12B3">
          <w:rPr>
            <w:rFonts w:eastAsia="Times New Roman" w:cs="Times New Roman"/>
            <w:szCs w:val="24"/>
            <w:lang w:val="es-CO" w:eastAsia="es-ES"/>
          </w:rPr>
          <w:t>artículo 476</w:t>
        </w:r>
      </w:hyperlink>
      <w:r w:rsidRPr="005F12B3">
        <w:rPr>
          <w:rFonts w:eastAsia="Times New Roman" w:cs="Times New Roman"/>
          <w:szCs w:val="24"/>
          <w:lang w:val="es-CO" w:eastAsia="es-ES"/>
        </w:rPr>
        <w:t> del Estatuto Tributario.</w:t>
      </w:r>
    </w:p>
    <w:p w14:paraId="463B3BA6"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696C1D14"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Sobre el particular, las consideraciones tributarias de este Despacho son las siguientes:</w:t>
      </w:r>
    </w:p>
    <w:p w14:paraId="73A476EF"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07739388"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En virtud del principio de legalidad, consagrado en el artículo 338 de la Constitución Política, en materia de impuestos, las exenciones y/o exclusiones son de interpretación restrictiva y se concretan a las expresamente señaladas por la Ley. En consecuencia, no es factible, en aras de una interpretación analógica o extensiva de las normas, derivar beneficios o tratamientos preferenciales no previstos en ella.</w:t>
      </w:r>
    </w:p>
    <w:p w14:paraId="77EF80AD"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3A28567F"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Teniendo en cuenta lo anterior, es preciso señalar que el </w:t>
      </w:r>
      <w:hyperlink r:id="rId6" w:tooltip="Estatuto Tributario CETA" w:history="1">
        <w:r w:rsidRPr="005F12B3">
          <w:rPr>
            <w:rFonts w:eastAsia="Times New Roman" w:cs="Times New Roman"/>
            <w:szCs w:val="24"/>
            <w:lang w:val="es-CO" w:eastAsia="es-ES"/>
          </w:rPr>
          <w:t>artículo 476</w:t>
        </w:r>
      </w:hyperlink>
      <w:r w:rsidRPr="005F12B3">
        <w:rPr>
          <w:rFonts w:eastAsia="Times New Roman" w:cs="Times New Roman"/>
          <w:szCs w:val="24"/>
          <w:lang w:val="es-CO" w:eastAsia="es-ES"/>
        </w:rPr>
        <w:t> del Estatuto Tributario establece los servicios excluidos del impuesto sobre las ventas, dentro de los cuales </w:t>
      </w:r>
      <w:r w:rsidRPr="005F12B3">
        <w:rPr>
          <w:rFonts w:eastAsia="Times New Roman" w:cs="Times New Roman"/>
          <w:szCs w:val="24"/>
          <w:u w:val="single"/>
          <w:lang w:val="es-CO" w:eastAsia="es-ES"/>
        </w:rPr>
        <w:t>no se encuentra expresamente</w:t>
      </w:r>
      <w:r w:rsidRPr="005F12B3">
        <w:rPr>
          <w:rFonts w:eastAsia="Times New Roman" w:cs="Times New Roman"/>
          <w:szCs w:val="24"/>
          <w:lang w:val="es-CO" w:eastAsia="es-ES"/>
        </w:rPr>
        <w:t> los servicios de simulador y/o servicios de instrucción, capacitación, y enseñanza técnica y avanzada de la aviación.</w:t>
      </w:r>
    </w:p>
    <w:p w14:paraId="388B2479"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4D0303BB"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Ahora bien, el numeral 5 del </w:t>
      </w:r>
      <w:hyperlink r:id="rId7" w:tooltip="Estatuto Tributario CETA" w:history="1">
        <w:r w:rsidRPr="005F12B3">
          <w:rPr>
            <w:rFonts w:eastAsia="Times New Roman" w:cs="Times New Roman"/>
            <w:szCs w:val="24"/>
            <w:lang w:val="es-CO" w:eastAsia="es-ES"/>
          </w:rPr>
          <w:t>artículo 476</w:t>
        </w:r>
      </w:hyperlink>
      <w:r w:rsidRPr="005F12B3">
        <w:rPr>
          <w:rFonts w:eastAsia="Times New Roman" w:cs="Times New Roman"/>
          <w:szCs w:val="24"/>
          <w:lang w:val="es-CO" w:eastAsia="es-ES"/>
        </w:rPr>
        <w:t> del Estatuto Tributario establece que los siguientes servicios se encuentran excluidos del impuesto:</w:t>
      </w:r>
    </w:p>
    <w:p w14:paraId="07B30B9B"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7AD0F7A5" w14:textId="77777777" w:rsidR="005F12B3" w:rsidRPr="005F12B3" w:rsidRDefault="005F12B3" w:rsidP="005F12B3">
      <w:pPr>
        <w:spacing w:line="240" w:lineRule="auto"/>
        <w:ind w:left="284"/>
        <w:rPr>
          <w:rFonts w:eastAsia="Times New Roman" w:cs="Times New Roman"/>
          <w:szCs w:val="24"/>
          <w:lang w:eastAsia="es-ES"/>
        </w:rPr>
      </w:pPr>
      <w:r w:rsidRPr="005F12B3">
        <w:rPr>
          <w:rFonts w:eastAsia="Times New Roman" w:cs="Times New Roman"/>
          <w:i/>
          <w:iCs/>
          <w:szCs w:val="24"/>
          <w:lang w:val="es-CO" w:eastAsia="es-ES"/>
        </w:rPr>
        <w:t>“</w:t>
      </w:r>
      <w:hyperlink r:id="rId8" w:tooltip="Estatuto Tributario CETA" w:history="1">
        <w:r w:rsidRPr="005F12B3">
          <w:rPr>
            <w:rFonts w:eastAsia="Times New Roman" w:cs="Times New Roman"/>
            <w:b/>
            <w:bCs/>
            <w:i/>
            <w:iCs/>
            <w:szCs w:val="24"/>
            <w:lang w:val="es-CO" w:eastAsia="es-ES"/>
          </w:rPr>
          <w:t>Artículo 476</w:t>
        </w:r>
      </w:hyperlink>
      <w:r w:rsidRPr="005F12B3">
        <w:rPr>
          <w:rFonts w:eastAsia="Times New Roman" w:cs="Times New Roman"/>
          <w:b/>
          <w:bCs/>
          <w:i/>
          <w:iCs/>
          <w:szCs w:val="24"/>
          <w:lang w:val="es-CO" w:eastAsia="es-ES"/>
        </w:rPr>
        <w:t>. SERVICIOS EXCLUIDOS DEL IMPUESTO SOBRE LAS VENTAS.</w:t>
      </w:r>
    </w:p>
    <w:p w14:paraId="3DB979F1" w14:textId="77777777" w:rsidR="005F12B3" w:rsidRPr="005F12B3" w:rsidRDefault="005F12B3" w:rsidP="005F12B3">
      <w:pPr>
        <w:spacing w:line="240" w:lineRule="auto"/>
        <w:ind w:left="284"/>
        <w:rPr>
          <w:rFonts w:eastAsia="Times New Roman" w:cs="Times New Roman"/>
          <w:szCs w:val="24"/>
          <w:lang w:eastAsia="es-ES"/>
        </w:rPr>
      </w:pPr>
      <w:r w:rsidRPr="005F12B3">
        <w:rPr>
          <w:rFonts w:eastAsia="Times New Roman" w:cs="Times New Roman"/>
          <w:i/>
          <w:iCs/>
          <w:szCs w:val="24"/>
          <w:lang w:val="es-CO" w:eastAsia="es-ES"/>
        </w:rPr>
        <w:t>Se exceptúan del impuesto los siguientes servicios y bienes relacionados:</w:t>
      </w:r>
    </w:p>
    <w:p w14:paraId="0F87D5EA" w14:textId="77777777" w:rsidR="005F12B3" w:rsidRPr="005F12B3" w:rsidRDefault="005F12B3" w:rsidP="005F12B3">
      <w:pPr>
        <w:spacing w:line="240" w:lineRule="auto"/>
        <w:ind w:left="284"/>
        <w:rPr>
          <w:rFonts w:eastAsia="Times New Roman" w:cs="Times New Roman"/>
          <w:szCs w:val="24"/>
          <w:lang w:eastAsia="es-ES"/>
        </w:rPr>
      </w:pPr>
      <w:r w:rsidRPr="005F12B3">
        <w:rPr>
          <w:rFonts w:eastAsia="Times New Roman" w:cs="Times New Roman"/>
          <w:i/>
          <w:iCs/>
          <w:szCs w:val="24"/>
          <w:lang w:val="es-CO" w:eastAsia="es-ES"/>
        </w:rPr>
        <w:t>(...)</w:t>
      </w:r>
    </w:p>
    <w:p w14:paraId="692630CC" w14:textId="77777777" w:rsidR="005F12B3" w:rsidRPr="005F12B3" w:rsidRDefault="005F12B3" w:rsidP="005F12B3">
      <w:pPr>
        <w:spacing w:line="240" w:lineRule="auto"/>
        <w:ind w:left="284"/>
        <w:rPr>
          <w:rFonts w:eastAsia="Times New Roman" w:cs="Times New Roman"/>
          <w:szCs w:val="24"/>
          <w:lang w:eastAsia="es-ES"/>
        </w:rPr>
      </w:pPr>
      <w:r w:rsidRPr="005F12B3">
        <w:rPr>
          <w:rFonts w:eastAsia="Times New Roman" w:cs="Times New Roman"/>
          <w:i/>
          <w:iCs/>
          <w:szCs w:val="24"/>
          <w:lang w:val="es-CO" w:eastAsia="es-ES"/>
        </w:rPr>
        <w:t>5. </w:t>
      </w:r>
      <w:r w:rsidRPr="005F12B3">
        <w:rPr>
          <w:rFonts w:eastAsia="Times New Roman" w:cs="Times New Roman"/>
          <w:i/>
          <w:iCs/>
          <w:szCs w:val="24"/>
          <w:u w:val="single"/>
          <w:lang w:val="es-CO" w:eastAsia="es-ES"/>
        </w:rPr>
        <w:t>Los servicios de educación prestados por establecimientos de educación </w:t>
      </w:r>
      <w:r w:rsidRPr="005F12B3">
        <w:rPr>
          <w:rFonts w:eastAsia="Times New Roman" w:cs="Times New Roman"/>
          <w:i/>
          <w:iCs/>
          <w:szCs w:val="24"/>
          <w:lang w:val="es-CO" w:eastAsia="es-ES"/>
        </w:rPr>
        <w:t>preescolar, primaria, medía e intermedia, superior </w:t>
      </w:r>
      <w:r w:rsidRPr="005F12B3">
        <w:rPr>
          <w:rFonts w:eastAsia="Times New Roman" w:cs="Times New Roman"/>
          <w:i/>
          <w:iCs/>
          <w:szCs w:val="24"/>
          <w:u w:val="single"/>
          <w:lang w:val="es-CO" w:eastAsia="es-ES"/>
        </w:rPr>
        <w:t>y especial o no formal, </w:t>
      </w:r>
      <w:r w:rsidRPr="005F12B3">
        <w:rPr>
          <w:rFonts w:eastAsia="Times New Roman" w:cs="Times New Roman"/>
          <w:b/>
          <w:bCs/>
          <w:i/>
          <w:iCs/>
          <w:szCs w:val="24"/>
          <w:u w:val="single"/>
          <w:lang w:val="es-CO" w:eastAsia="es-ES"/>
        </w:rPr>
        <w:t>reconocidos como tales por el Gobierno nacional</w:t>
      </w:r>
      <w:r w:rsidRPr="005F12B3">
        <w:rPr>
          <w:rFonts w:eastAsia="Times New Roman" w:cs="Times New Roman"/>
          <w:i/>
          <w:iCs/>
          <w:szCs w:val="24"/>
          <w:lang w:val="es-CO" w:eastAsia="es-ES"/>
        </w:rPr>
        <w:t xml:space="preserve">, y los servicios de educación prestados por personas naturales a dichos establecimientos. Están excluidos igualmente los servicios prestados por los establecimientos </w:t>
      </w:r>
      <w:r w:rsidRPr="005F12B3">
        <w:rPr>
          <w:rFonts w:eastAsia="Times New Roman" w:cs="Times New Roman"/>
          <w:i/>
          <w:iCs/>
          <w:szCs w:val="24"/>
          <w:lang w:val="es-CO" w:eastAsia="es-ES"/>
        </w:rPr>
        <w:lastRenderedPageBreak/>
        <w:t>de educación relativos a restaurantes, cafeterías y transporte, así como los que se presten en desarrollo de las Leyes 30 de 1992 y 115 de 1994, o las disposiciones que las modifiquen o sustituyan. Igualmente están excluidos los servicios de evaluación de la educación y de elaboración y aplicación de exámenes para la selección y promoción de personal, prestados por organismos o entidades de la administración pública.”</w:t>
      </w:r>
      <w:r w:rsidRPr="005F12B3">
        <w:rPr>
          <w:rFonts w:eastAsia="Times New Roman" w:cs="Times New Roman"/>
          <w:szCs w:val="24"/>
          <w:lang w:val="es-CO" w:eastAsia="es-ES"/>
        </w:rPr>
        <w:t> (Subrayado fuera de texto).</w:t>
      </w:r>
    </w:p>
    <w:p w14:paraId="792AE430" w14:textId="77777777" w:rsidR="005F12B3" w:rsidRPr="005F12B3" w:rsidRDefault="005F12B3" w:rsidP="005F12B3">
      <w:pPr>
        <w:spacing w:line="240" w:lineRule="auto"/>
        <w:ind w:left="284"/>
        <w:rPr>
          <w:rFonts w:eastAsia="Times New Roman" w:cs="Times New Roman"/>
          <w:szCs w:val="24"/>
          <w:lang w:eastAsia="es-ES"/>
        </w:rPr>
      </w:pPr>
      <w:r w:rsidRPr="005F12B3">
        <w:rPr>
          <w:rFonts w:eastAsia="Times New Roman" w:cs="Times New Roman"/>
          <w:szCs w:val="24"/>
          <w:lang w:val="es-CO" w:eastAsia="es-ES"/>
        </w:rPr>
        <w:t> </w:t>
      </w:r>
    </w:p>
    <w:p w14:paraId="7D80FCB8"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Respecto al servicio educativo, nótese que el numeral 5 del </w:t>
      </w:r>
      <w:hyperlink r:id="rId9" w:tooltip="Estatuto Tributario CETA" w:history="1">
        <w:r w:rsidRPr="005F12B3">
          <w:rPr>
            <w:rFonts w:eastAsia="Times New Roman" w:cs="Times New Roman"/>
            <w:szCs w:val="24"/>
            <w:lang w:val="es-CO" w:eastAsia="es-ES"/>
          </w:rPr>
          <w:t>artículo 476</w:t>
        </w:r>
      </w:hyperlink>
      <w:r w:rsidRPr="005F12B3">
        <w:rPr>
          <w:rFonts w:eastAsia="Times New Roman" w:cs="Times New Roman"/>
          <w:szCs w:val="24"/>
          <w:lang w:val="es-CO" w:eastAsia="es-ES"/>
        </w:rPr>
        <w:t> del Estatuto Tributario excluye del impuesto sobre las ventas a los siguientes servicios educativos (i) formales (establecimientos de educación preescolar, primaria, media e intermedia y superior) reconocidos como tales por el Gobierno nacional, (</w:t>
      </w:r>
      <w:proofErr w:type="spellStart"/>
      <w:r w:rsidRPr="005F12B3">
        <w:rPr>
          <w:rFonts w:eastAsia="Times New Roman" w:cs="Times New Roman"/>
          <w:szCs w:val="24"/>
          <w:lang w:val="es-CO" w:eastAsia="es-ES"/>
        </w:rPr>
        <w:t>ii</w:t>
      </w:r>
      <w:proofErr w:type="spellEnd"/>
      <w:r w:rsidRPr="005F12B3">
        <w:rPr>
          <w:rFonts w:eastAsia="Times New Roman" w:cs="Times New Roman"/>
          <w:szCs w:val="24"/>
          <w:lang w:val="es-CO" w:eastAsia="es-ES"/>
        </w:rPr>
        <w:t>) la especial o no formal reconocidos como tales por el Gobierno nacional y (</w:t>
      </w:r>
      <w:proofErr w:type="spellStart"/>
      <w:r w:rsidRPr="005F12B3">
        <w:rPr>
          <w:rFonts w:eastAsia="Times New Roman" w:cs="Times New Roman"/>
          <w:szCs w:val="24"/>
          <w:lang w:val="es-CO" w:eastAsia="es-ES"/>
        </w:rPr>
        <w:t>iii</w:t>
      </w:r>
      <w:proofErr w:type="spellEnd"/>
      <w:r w:rsidRPr="005F12B3">
        <w:rPr>
          <w:rFonts w:eastAsia="Times New Roman" w:cs="Times New Roman"/>
          <w:szCs w:val="24"/>
          <w:lang w:val="es-CO" w:eastAsia="es-ES"/>
        </w:rPr>
        <w:t>) aquellos prestados por personas naturales a dichos establecimientos.</w:t>
      </w:r>
    </w:p>
    <w:p w14:paraId="586C25A3"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47ECD5BA"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Sobre los servicios educativos no formales (que en la actualidad se denominan "Educación para el Trabajo y el Desarrollo Humano", de conformidad con la Ley 1064 de 2006), el artículo 36 del mismo cuerpo normativo, define la </w:t>
      </w:r>
      <w:r w:rsidRPr="005F12B3">
        <w:rPr>
          <w:rFonts w:eastAsia="Times New Roman" w:cs="Times New Roman"/>
          <w:i/>
          <w:iCs/>
          <w:szCs w:val="24"/>
          <w:lang w:val="es-CO" w:eastAsia="es-ES"/>
        </w:rPr>
        <w:t>Educación para el trabajo y el Desarrollo Humano</w:t>
      </w:r>
      <w:r w:rsidRPr="005F12B3">
        <w:rPr>
          <w:rFonts w:eastAsia="Times New Roman" w:cs="Times New Roman"/>
          <w:szCs w:val="24"/>
          <w:lang w:val="es-CO" w:eastAsia="es-ES"/>
        </w:rPr>
        <w:t>, de la siguiente manera:</w:t>
      </w:r>
    </w:p>
    <w:p w14:paraId="63D00F8B"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3FF13292" w14:textId="77777777" w:rsidR="005F12B3" w:rsidRPr="005F12B3" w:rsidRDefault="005F12B3" w:rsidP="005F12B3">
      <w:pPr>
        <w:spacing w:line="240" w:lineRule="auto"/>
        <w:ind w:left="284"/>
        <w:rPr>
          <w:rFonts w:eastAsia="Times New Roman" w:cs="Times New Roman"/>
          <w:szCs w:val="24"/>
          <w:lang w:eastAsia="es-ES"/>
        </w:rPr>
      </w:pPr>
      <w:r w:rsidRPr="005F12B3">
        <w:rPr>
          <w:rFonts w:eastAsia="Times New Roman" w:cs="Times New Roman"/>
          <w:i/>
          <w:iCs/>
          <w:szCs w:val="24"/>
          <w:lang w:val="es-CO" w:eastAsia="es-ES"/>
        </w:rPr>
        <w:t>“</w:t>
      </w:r>
      <w:r w:rsidRPr="005F12B3">
        <w:rPr>
          <w:rFonts w:eastAsia="Times New Roman" w:cs="Times New Roman"/>
          <w:b/>
          <w:bCs/>
          <w:i/>
          <w:iCs/>
          <w:szCs w:val="24"/>
          <w:lang w:val="es-CO" w:eastAsia="es-ES"/>
        </w:rPr>
        <w:t>ARTÍCULO 36. DEFINICIÓN DE EDUCACIÓN NO FORMAL</w:t>
      </w:r>
      <w:r w:rsidRPr="005F12B3">
        <w:rPr>
          <w:rFonts w:eastAsia="Times New Roman" w:cs="Times New Roman"/>
          <w:i/>
          <w:iCs/>
          <w:szCs w:val="24"/>
          <w:lang w:val="es-CO" w:eastAsia="es-ES"/>
        </w:rPr>
        <w:t>. La educación no formal es la que se ofrece con el objeto de complementar, actualizar, suplir conocimientos y formar, en aspectos académicos o laborales sin sujeción al sistema de niveles y grados establecidos en el Artículo 11 de esta Ley.”</w:t>
      </w:r>
      <w:r w:rsidRPr="005F12B3">
        <w:rPr>
          <w:rFonts w:eastAsia="Times New Roman" w:cs="Times New Roman"/>
          <w:szCs w:val="24"/>
          <w:lang w:val="es-CO" w:eastAsia="es-ES"/>
        </w:rPr>
        <w:t> (artículo 36, Ley 115 de 1994).</w:t>
      </w:r>
    </w:p>
    <w:p w14:paraId="232DD42C"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30315A40"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A su vez, el artículo 2.6.2.2. del Decreto 1075 de 2015 establece que la educación para el trabajo y desarrollo humano comprende la formación permanente, personal, social y cultural, que se fundamenta en una concepción integral de la persona, que una institución organiza en un proyecto educativo institucional y que se estructura en currículos flexibles sin sujeción al sistema de niveles y grados propios de la educación formal.</w:t>
      </w:r>
    </w:p>
    <w:p w14:paraId="706020EA"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32DB9EC7"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Teniendo en cuenta las anteriores consideraciones, del numeral 5 del </w:t>
      </w:r>
      <w:hyperlink r:id="rId10" w:tooltip="Estatuto Tributario CETA" w:history="1">
        <w:r w:rsidRPr="005F12B3">
          <w:rPr>
            <w:rFonts w:eastAsia="Times New Roman" w:cs="Times New Roman"/>
            <w:szCs w:val="24"/>
            <w:lang w:val="es-CO" w:eastAsia="es-ES"/>
          </w:rPr>
          <w:t>artículo 476</w:t>
        </w:r>
      </w:hyperlink>
      <w:r w:rsidRPr="005F12B3">
        <w:rPr>
          <w:rFonts w:eastAsia="Times New Roman" w:cs="Times New Roman"/>
          <w:szCs w:val="24"/>
          <w:lang w:val="es-CO" w:eastAsia="es-ES"/>
        </w:rPr>
        <w:t> del Estatuto Tributario, se deduce que para que pueda operar la exclusión del impuesto sobre las ventas en materia de prestación de servicios educativos formal y no formal es necesario cumplir los siguientes requisitos:</w:t>
      </w:r>
    </w:p>
    <w:p w14:paraId="2E67162E"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bookmarkStart w:id="0" w:name="_GoBack"/>
      <w:bookmarkEnd w:id="0"/>
    </w:p>
    <w:p w14:paraId="43CAAD0A" w14:textId="77777777" w:rsidR="005F12B3" w:rsidRPr="005F12B3" w:rsidRDefault="005F12B3" w:rsidP="005F12B3">
      <w:pPr>
        <w:spacing w:line="240" w:lineRule="auto"/>
        <w:ind w:left="284"/>
        <w:rPr>
          <w:rFonts w:eastAsia="Times New Roman" w:cs="Times New Roman"/>
          <w:szCs w:val="24"/>
          <w:lang w:eastAsia="es-ES"/>
        </w:rPr>
      </w:pPr>
      <w:r w:rsidRPr="005F12B3">
        <w:rPr>
          <w:rFonts w:eastAsia="Times New Roman" w:cs="Times New Roman"/>
          <w:szCs w:val="24"/>
          <w:lang w:val="es-CO" w:eastAsia="es-ES"/>
        </w:rPr>
        <w:t>a) Que se trate de servicios de educación prestados por establecimientos de educación pre - escolar, primaria, media e intermedia, superior y especial o no formal, ahora, Educación para el Trabajo y el Desarrollo.</w:t>
      </w:r>
    </w:p>
    <w:p w14:paraId="515D39AA" w14:textId="77777777" w:rsidR="005F12B3" w:rsidRPr="005F12B3" w:rsidRDefault="005F12B3" w:rsidP="005F12B3">
      <w:pPr>
        <w:spacing w:line="240" w:lineRule="auto"/>
        <w:ind w:left="284"/>
        <w:rPr>
          <w:rFonts w:eastAsia="Times New Roman" w:cs="Times New Roman"/>
          <w:szCs w:val="24"/>
          <w:lang w:eastAsia="es-ES"/>
        </w:rPr>
      </w:pPr>
      <w:r w:rsidRPr="005F12B3">
        <w:rPr>
          <w:rFonts w:eastAsia="Times New Roman" w:cs="Times New Roman"/>
          <w:szCs w:val="24"/>
          <w:lang w:val="es-CO" w:eastAsia="es-ES"/>
        </w:rPr>
        <w:t> </w:t>
      </w:r>
    </w:p>
    <w:p w14:paraId="007A1138" w14:textId="77777777" w:rsidR="005F12B3" w:rsidRPr="005F12B3" w:rsidRDefault="005F12B3" w:rsidP="005F12B3">
      <w:pPr>
        <w:spacing w:line="240" w:lineRule="auto"/>
        <w:ind w:left="284"/>
        <w:rPr>
          <w:rFonts w:eastAsia="Times New Roman" w:cs="Times New Roman"/>
          <w:szCs w:val="24"/>
          <w:lang w:eastAsia="es-ES"/>
        </w:rPr>
      </w:pPr>
      <w:r w:rsidRPr="005F12B3">
        <w:rPr>
          <w:rFonts w:eastAsia="Times New Roman" w:cs="Times New Roman"/>
          <w:szCs w:val="24"/>
          <w:lang w:val="es-CO" w:eastAsia="es-ES"/>
        </w:rPr>
        <w:t>b) Que los establecimientos que prestan los servicios de educación referidos deben estar debidamente autorizados por el Gobierno.</w:t>
      </w:r>
    </w:p>
    <w:p w14:paraId="65F33861"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3EC6D36E"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Por tanto, los servicios que no cumplan con estas condiciones, a pesar que se relacionen con entidades del sector educativo, no están cobijados por dicha exclusión. Los servicios relacionados con la educación informal no se encuentran incluidos dentro de la exclusión contenida en el numeral 5 del </w:t>
      </w:r>
      <w:hyperlink r:id="rId11" w:tooltip="Estatuto Tributario CETA" w:history="1">
        <w:r w:rsidRPr="005F12B3">
          <w:rPr>
            <w:rFonts w:eastAsia="Times New Roman" w:cs="Times New Roman"/>
            <w:szCs w:val="24"/>
            <w:lang w:val="es-CO" w:eastAsia="es-ES"/>
          </w:rPr>
          <w:t>artículo 476</w:t>
        </w:r>
      </w:hyperlink>
      <w:r w:rsidRPr="005F12B3">
        <w:rPr>
          <w:rFonts w:eastAsia="Times New Roman" w:cs="Times New Roman"/>
          <w:szCs w:val="24"/>
          <w:lang w:val="es-CO" w:eastAsia="es-ES"/>
        </w:rPr>
        <w:t> del Estatuto Tributario.</w:t>
      </w:r>
    </w:p>
    <w:p w14:paraId="6CAA015E"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51036E41"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Ahora bien, corresponde precisar, conforme a nuestras funciones, que no compete a esta Subdirección calificar si el curso en estudio es un servicio de educación. Por lo anterior, le concierne al consultante efectuar la valoración pertinente, en aras de establecer la clasificación del servicio de cursos de simulador para helicópteros Mi - 17 que incluye capacitación, instrucción y enseñanza técnica y avanzada para tripulaciones.</w:t>
      </w:r>
    </w:p>
    <w:p w14:paraId="0BA99E3D"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05284FD9"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768BE875" w14:textId="77777777" w:rsidR="005F12B3" w:rsidRPr="005F12B3" w:rsidRDefault="005F12B3" w:rsidP="005F12B3">
      <w:pPr>
        <w:spacing w:line="240" w:lineRule="auto"/>
        <w:rPr>
          <w:rFonts w:eastAsia="Times New Roman" w:cs="Times New Roman"/>
          <w:szCs w:val="24"/>
          <w:lang w:val="es-CO" w:eastAsia="es-ES"/>
        </w:rPr>
      </w:pPr>
    </w:p>
    <w:p w14:paraId="7061CC48" w14:textId="77777777" w:rsidR="005F12B3" w:rsidRPr="005F12B3" w:rsidRDefault="005F12B3" w:rsidP="005F12B3">
      <w:pPr>
        <w:spacing w:line="240" w:lineRule="auto"/>
        <w:rPr>
          <w:rFonts w:eastAsia="Times New Roman" w:cs="Times New Roman"/>
          <w:szCs w:val="24"/>
          <w:lang w:eastAsia="es-ES"/>
        </w:rPr>
      </w:pPr>
      <w:bookmarkStart w:id="1" w:name="_Hlk37256353"/>
      <w:r w:rsidRPr="005F12B3">
        <w:rPr>
          <w:rFonts w:eastAsia="Times New Roman" w:cs="Times New Roman"/>
          <w:szCs w:val="24"/>
          <w:lang w:val="es-CO" w:eastAsia="es-ES"/>
        </w:rPr>
        <w:t>Atentamente,</w:t>
      </w:r>
    </w:p>
    <w:p w14:paraId="72E6E90E"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1F87A484"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 </w:t>
      </w:r>
    </w:p>
    <w:p w14:paraId="31BF1B1E"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b/>
          <w:bCs/>
          <w:szCs w:val="24"/>
          <w:lang w:val="es-CO" w:eastAsia="es-ES"/>
        </w:rPr>
        <w:t>PABLO EMILIO MENDOZA VELILLA</w:t>
      </w:r>
    </w:p>
    <w:p w14:paraId="0B802C76"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Subdirector de gestión Normativa y Doctrina</w:t>
      </w:r>
    </w:p>
    <w:p w14:paraId="4F36672F" w14:textId="7777777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Dirección de Gestión Jurídica</w:t>
      </w:r>
    </w:p>
    <w:p w14:paraId="75215861" w14:textId="77777777" w:rsidR="005F12B3" w:rsidRPr="005F12B3" w:rsidRDefault="005F12B3" w:rsidP="005F12B3">
      <w:pPr>
        <w:spacing w:line="240" w:lineRule="auto"/>
        <w:rPr>
          <w:rFonts w:eastAsia="Times New Roman" w:cs="Times New Roman"/>
          <w:szCs w:val="24"/>
          <w:lang w:val="es-CO" w:eastAsia="es-ES"/>
        </w:rPr>
      </w:pPr>
      <w:r w:rsidRPr="005F12B3">
        <w:rPr>
          <w:rFonts w:eastAsia="Times New Roman" w:cs="Times New Roman"/>
          <w:szCs w:val="24"/>
          <w:lang w:val="es-CO" w:eastAsia="es-ES"/>
        </w:rPr>
        <w:lastRenderedPageBreak/>
        <w:t>UAE-Dirección de Impuestos y Aduanas Nacionales</w:t>
      </w:r>
    </w:p>
    <w:bookmarkEnd w:id="1"/>
    <w:p w14:paraId="1B486712" w14:textId="6AAF7337" w:rsidR="005F12B3" w:rsidRPr="005F12B3" w:rsidRDefault="005F12B3" w:rsidP="005F12B3">
      <w:pPr>
        <w:spacing w:line="240" w:lineRule="auto"/>
        <w:rPr>
          <w:rFonts w:eastAsia="Times New Roman" w:cs="Times New Roman"/>
          <w:szCs w:val="24"/>
          <w:lang w:eastAsia="es-ES"/>
        </w:rPr>
      </w:pPr>
      <w:r w:rsidRPr="005F12B3">
        <w:rPr>
          <w:rFonts w:eastAsia="Times New Roman" w:cs="Times New Roman"/>
          <w:szCs w:val="24"/>
          <w:lang w:val="es-CO" w:eastAsia="es-ES"/>
        </w:rPr>
        <w:t>_____________________________________________________________________________</w:t>
      </w:r>
    </w:p>
    <w:p w14:paraId="43A6CB52" w14:textId="77777777" w:rsidR="007F5CC8" w:rsidRPr="005F12B3" w:rsidRDefault="007F5CC8">
      <w:pPr>
        <w:rPr>
          <w:rFonts w:cs="Times New Roman"/>
          <w:szCs w:val="24"/>
        </w:rPr>
      </w:pPr>
    </w:p>
    <w:sectPr w:rsidR="007F5CC8" w:rsidRPr="005F12B3"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B3"/>
    <w:rsid w:val="001E311E"/>
    <w:rsid w:val="00434AE6"/>
    <w:rsid w:val="005D651F"/>
    <w:rsid w:val="005F12B3"/>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2D52"/>
  <w15:chartTrackingRefBased/>
  <w15:docId w15:val="{DEAA3F9C-37BF-4574-B8C0-2F1BB305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73439">
      <w:bodyDiv w:val="1"/>
      <w:marLeft w:val="0"/>
      <w:marRight w:val="0"/>
      <w:marTop w:val="0"/>
      <w:marBottom w:val="0"/>
      <w:divBdr>
        <w:top w:val="none" w:sz="0" w:space="0" w:color="auto"/>
        <w:left w:val="none" w:sz="0" w:space="0" w:color="auto"/>
        <w:bottom w:val="none" w:sz="0" w:space="0" w:color="auto"/>
        <w:right w:val="none" w:sz="0" w:space="0" w:color="auto"/>
      </w:divBdr>
    </w:div>
    <w:div w:id="400980972">
      <w:bodyDiv w:val="1"/>
      <w:marLeft w:val="0"/>
      <w:marRight w:val="0"/>
      <w:marTop w:val="0"/>
      <w:marBottom w:val="0"/>
      <w:divBdr>
        <w:top w:val="none" w:sz="0" w:space="0" w:color="auto"/>
        <w:left w:val="none" w:sz="0" w:space="0" w:color="auto"/>
        <w:bottom w:val="none" w:sz="0" w:space="0" w:color="auto"/>
        <w:right w:val="none" w:sz="0" w:space="0" w:color="auto"/>
      </w:divBdr>
    </w:div>
    <w:div w:id="4769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59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eta.org.co/html/vista_de_un_articulo.asp?Norma=59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595" TargetMode="External"/><Relationship Id="rId11" Type="http://schemas.openxmlformats.org/officeDocument/2006/relationships/hyperlink" Target="https://www.ceta.org.co/html/vista_de_un_articulo.asp?Norma=595" TargetMode="External"/><Relationship Id="rId5" Type="http://schemas.openxmlformats.org/officeDocument/2006/relationships/hyperlink" Target="https://www.ceta.org.co/html/vista_de_un_articulo.asp?Norma=595" TargetMode="External"/><Relationship Id="rId10" Type="http://schemas.openxmlformats.org/officeDocument/2006/relationships/hyperlink" Target="https://www.ceta.org.co/html/vista_de_un_articulo.asp?Norma=595" TargetMode="External"/><Relationship Id="rId4" Type="http://schemas.openxmlformats.org/officeDocument/2006/relationships/hyperlink" Target="https://www.ceta.org.co/html/vista_de_un_articulo.asp?Norma=595" TargetMode="External"/><Relationship Id="rId9" Type="http://schemas.openxmlformats.org/officeDocument/2006/relationships/hyperlink" Target="https://www.ceta.org.co/html/vista_de_un_articulo.asp?Norma=5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1132</Words>
  <Characters>6226</Characters>
  <Application>Microsoft Office Word</Application>
  <DocSecurity>0</DocSecurity>
  <Lines>51</Lines>
  <Paragraphs>14</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2020-04-08T21:32:00Z</dcterms:created>
  <dcterms:modified xsi:type="dcterms:W3CDTF">2020-04-08T22:11:00Z</dcterms:modified>
</cp:coreProperties>
</file>