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21C" w:rsidRPr="00F3021C" w:rsidRDefault="00F3021C" w:rsidP="00F3021C">
      <w:pPr>
        <w:pStyle w:val="pa8"/>
        <w:spacing w:before="0" w:beforeAutospacing="0" w:after="0" w:afterAutospacing="0"/>
        <w:jc w:val="both"/>
        <w:rPr>
          <w:b/>
          <w:bCs/>
          <w:color w:val="000000"/>
        </w:rPr>
      </w:pPr>
      <w:bookmarkStart w:id="0" w:name="_GoBack"/>
      <w:bookmarkEnd w:id="0"/>
    </w:p>
    <w:p w:rsidR="00F3021C" w:rsidRPr="00F3021C" w:rsidRDefault="00F3021C" w:rsidP="00F3021C">
      <w:pPr>
        <w:pStyle w:val="pa8"/>
        <w:spacing w:before="0" w:beforeAutospacing="0" w:after="0" w:afterAutospacing="0"/>
        <w:jc w:val="both"/>
        <w:rPr>
          <w:b/>
          <w:bCs/>
          <w:color w:val="000000"/>
          <w:shd w:val="clear" w:color="auto" w:fill="FFFFFF"/>
        </w:rPr>
      </w:pPr>
    </w:p>
    <w:p w:rsidR="00F3021C" w:rsidRPr="00F3021C" w:rsidRDefault="00F3021C" w:rsidP="00F3021C">
      <w:pPr>
        <w:spacing w:line="240" w:lineRule="auto"/>
        <w:jc w:val="center"/>
        <w:rPr>
          <w:rFonts w:eastAsia="Times New Roman" w:cs="Times New Roman"/>
          <w:szCs w:val="24"/>
          <w:lang w:eastAsia="es-CO"/>
        </w:rPr>
      </w:pPr>
      <w:r w:rsidRPr="00F3021C">
        <w:rPr>
          <w:rFonts w:eastAsia="Times New Roman" w:cs="Times New Roman"/>
          <w:b/>
          <w:bCs/>
          <w:szCs w:val="24"/>
          <w:lang w:eastAsia="es-CO"/>
        </w:rPr>
        <w:t>Resolución Nº 2404</w:t>
      </w:r>
    </w:p>
    <w:p w:rsidR="00F3021C" w:rsidRDefault="00F3021C" w:rsidP="00F3021C">
      <w:pPr>
        <w:spacing w:line="240" w:lineRule="auto"/>
        <w:jc w:val="center"/>
        <w:rPr>
          <w:rFonts w:eastAsia="Times New Roman" w:cs="Times New Roman"/>
          <w:b/>
          <w:bCs/>
          <w:szCs w:val="24"/>
          <w:lang w:eastAsia="es-CO"/>
        </w:rPr>
      </w:pPr>
    </w:p>
    <w:p w:rsidR="00F3021C" w:rsidRDefault="00F3021C" w:rsidP="00F3021C">
      <w:pPr>
        <w:spacing w:line="240" w:lineRule="auto"/>
        <w:jc w:val="center"/>
        <w:rPr>
          <w:rFonts w:eastAsia="Times New Roman" w:cs="Times New Roman"/>
          <w:b/>
          <w:bCs/>
          <w:szCs w:val="24"/>
          <w:lang w:eastAsia="es-CO"/>
        </w:rPr>
      </w:pPr>
      <w:r w:rsidRPr="00F3021C">
        <w:rPr>
          <w:rFonts w:eastAsia="Times New Roman" w:cs="Times New Roman"/>
          <w:b/>
          <w:bCs/>
          <w:szCs w:val="24"/>
          <w:lang w:eastAsia="es-CO"/>
        </w:rPr>
        <w:t>22-07-2019</w:t>
      </w:r>
    </w:p>
    <w:p w:rsidR="00F3021C" w:rsidRPr="00F3021C" w:rsidRDefault="00F3021C" w:rsidP="00F3021C">
      <w:pPr>
        <w:spacing w:line="240" w:lineRule="auto"/>
        <w:jc w:val="center"/>
        <w:rPr>
          <w:rFonts w:eastAsia="Times New Roman" w:cs="Times New Roman"/>
          <w:szCs w:val="24"/>
          <w:lang w:eastAsia="es-CO"/>
        </w:rPr>
      </w:pPr>
    </w:p>
    <w:p w:rsidR="00F3021C" w:rsidRPr="00F3021C" w:rsidRDefault="00F3021C" w:rsidP="00F3021C">
      <w:pPr>
        <w:spacing w:line="240" w:lineRule="auto"/>
        <w:jc w:val="center"/>
        <w:rPr>
          <w:rFonts w:eastAsia="Times New Roman" w:cs="Times New Roman"/>
          <w:szCs w:val="24"/>
          <w:lang w:eastAsia="es-CO"/>
        </w:rPr>
      </w:pPr>
      <w:r w:rsidRPr="00F3021C">
        <w:rPr>
          <w:rFonts w:eastAsia="Times New Roman" w:cs="Times New Roman"/>
          <w:b/>
          <w:bCs/>
          <w:szCs w:val="24"/>
          <w:lang w:eastAsia="es-CO"/>
        </w:rPr>
        <w:t>Ministerio del Trabajo</w:t>
      </w:r>
    </w:p>
    <w:p w:rsidR="00F3021C" w:rsidRPr="00F3021C" w:rsidRDefault="00F3021C" w:rsidP="00F3021C">
      <w:pPr>
        <w:spacing w:line="240" w:lineRule="auto"/>
        <w:jc w:val="center"/>
        <w:rPr>
          <w:rFonts w:eastAsia="Times New Roman" w:cs="Times New Roman"/>
          <w:szCs w:val="24"/>
          <w:lang w:eastAsia="es-CO"/>
        </w:rPr>
      </w:pPr>
      <w:r w:rsidRPr="00F3021C">
        <w:rPr>
          <w:rFonts w:eastAsia="Times New Roman" w:cs="Times New Roman"/>
          <w:b/>
          <w:bCs/>
          <w:i/>
          <w:iCs/>
          <w:szCs w:val="24"/>
          <w:lang w:eastAsia="es-CO"/>
        </w:rPr>
        <w:t> </w:t>
      </w:r>
    </w:p>
    <w:p w:rsidR="00F3021C" w:rsidRPr="00F3021C" w:rsidRDefault="00F3021C" w:rsidP="00F3021C">
      <w:pPr>
        <w:spacing w:line="240" w:lineRule="auto"/>
        <w:jc w:val="center"/>
        <w:rPr>
          <w:rFonts w:eastAsia="Times New Roman" w:cs="Times New Roman"/>
          <w:color w:val="000000"/>
          <w:szCs w:val="24"/>
          <w:lang w:eastAsia="es-CO"/>
        </w:rPr>
      </w:pPr>
      <w:r w:rsidRPr="00F3021C">
        <w:rPr>
          <w:rFonts w:eastAsia="Times New Roman" w:cs="Times New Roman"/>
          <w:b/>
          <w:bCs/>
          <w:i/>
          <w:iCs/>
          <w:color w:val="0000FF"/>
          <w:szCs w:val="24"/>
          <w:lang w:eastAsia="es-CO"/>
        </w:rPr>
        <w:t> </w:t>
      </w:r>
    </w:p>
    <w:p w:rsidR="00F3021C" w:rsidRPr="00F3021C" w:rsidRDefault="00F3021C" w:rsidP="00F3021C">
      <w:pPr>
        <w:spacing w:line="240" w:lineRule="auto"/>
        <w:jc w:val="center"/>
        <w:rPr>
          <w:rFonts w:eastAsia="Times New Roman" w:cs="Times New Roman"/>
          <w:color w:val="000000"/>
          <w:szCs w:val="24"/>
          <w:lang w:eastAsia="es-CO"/>
        </w:rPr>
      </w:pPr>
      <w:r w:rsidRPr="00F3021C">
        <w:rPr>
          <w:rFonts w:eastAsia="Times New Roman" w:cs="Times New Roman"/>
          <w:i/>
          <w:iCs/>
          <w:color w:val="000000"/>
          <w:szCs w:val="24"/>
          <w:lang w:eastAsia="es-CO"/>
        </w:rPr>
        <w:t>por la cual se adopta la Batería de Instrumentos para la Evaluación de Factores de Riesgo Psicosocial, la Guía Técnica General para la Promoción, Prevención e Intervención de los Factores Psicosociales y sus Efectos en la Población Trabajadora y sus Protocolos Específicos y se dictan otras disposiciones.</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 </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 </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La Ministra del Trabajo, en uso de sus facultades legales, especialmente las que confieren los numerales 9 y 10 del artículo 2°, los numerales 6 y 7 del artículo 6° del Decreto 4108 de 2011, y</w:t>
      </w:r>
    </w:p>
    <w:p w:rsidR="00F3021C" w:rsidRPr="00F3021C" w:rsidRDefault="00F3021C" w:rsidP="00F3021C">
      <w:pPr>
        <w:spacing w:line="240" w:lineRule="auto"/>
        <w:jc w:val="center"/>
        <w:rPr>
          <w:rFonts w:eastAsia="Times New Roman" w:cs="Times New Roman"/>
          <w:color w:val="000000"/>
          <w:szCs w:val="24"/>
          <w:lang w:eastAsia="es-CO"/>
        </w:rPr>
      </w:pPr>
      <w:r w:rsidRPr="00F3021C">
        <w:rPr>
          <w:rFonts w:eastAsia="Times New Roman" w:cs="Times New Roman"/>
          <w:color w:val="000000"/>
          <w:szCs w:val="24"/>
          <w:lang w:eastAsia="es-CO"/>
        </w:rPr>
        <w:t> </w:t>
      </w:r>
    </w:p>
    <w:p w:rsidR="00F3021C" w:rsidRPr="00F3021C" w:rsidRDefault="00F3021C" w:rsidP="00F3021C">
      <w:pPr>
        <w:spacing w:line="240" w:lineRule="auto"/>
        <w:jc w:val="center"/>
        <w:rPr>
          <w:rFonts w:eastAsia="Times New Roman" w:cs="Times New Roman"/>
          <w:color w:val="000000"/>
          <w:szCs w:val="24"/>
          <w:lang w:eastAsia="es-CO"/>
        </w:rPr>
      </w:pPr>
      <w:r w:rsidRPr="00F3021C">
        <w:rPr>
          <w:rFonts w:eastAsia="Times New Roman" w:cs="Times New Roman"/>
          <w:color w:val="000000"/>
          <w:szCs w:val="24"/>
          <w:lang w:eastAsia="es-CO"/>
        </w:rPr>
        <w:t> </w:t>
      </w:r>
    </w:p>
    <w:p w:rsidR="00F3021C" w:rsidRPr="00F3021C" w:rsidRDefault="00F3021C" w:rsidP="00F3021C">
      <w:pPr>
        <w:spacing w:line="240" w:lineRule="auto"/>
        <w:jc w:val="center"/>
        <w:rPr>
          <w:rFonts w:eastAsia="Times New Roman" w:cs="Times New Roman"/>
          <w:color w:val="000000"/>
          <w:szCs w:val="24"/>
          <w:lang w:eastAsia="es-CO"/>
        </w:rPr>
      </w:pPr>
      <w:r w:rsidRPr="00F3021C">
        <w:rPr>
          <w:rFonts w:eastAsia="Times New Roman" w:cs="Times New Roman"/>
          <w:b/>
          <w:bCs/>
          <w:color w:val="000000"/>
          <w:szCs w:val="24"/>
          <w:lang w:eastAsia="es-CO"/>
        </w:rPr>
        <w:t>CONSIDERANDO:</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b/>
          <w:bCs/>
          <w:color w:val="000000"/>
          <w:szCs w:val="24"/>
          <w:lang w:eastAsia="es-CO"/>
        </w:rPr>
        <w:t> </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Que la Ley 1616 de 2013, en su artículo 9° respecto a la promoción de la salud mental y prevención del trastorno mental en el ámbito laboral establece que </w:t>
      </w:r>
      <w:r w:rsidRPr="00F3021C">
        <w:rPr>
          <w:rFonts w:eastAsia="Times New Roman" w:cs="Times New Roman"/>
          <w:i/>
          <w:iCs/>
          <w:color w:val="000000"/>
          <w:szCs w:val="24"/>
          <w:lang w:eastAsia="es-CO"/>
        </w:rPr>
        <w:t>“Las Administradoras de Riesgos Laborales dentro de las actividades de promoción y prevención en salud deberán generar estrategias, programas, acciones o servicios de promoción de la salud mental y prevención del trastorno mental, y deberán garantizar que sus empresas afiliadas incluyan dentro de su Sistema de Gestión de Seguridad y Salud en el Trabajo, el monitoreo permanente de la exposición a factores de riesgo psicosocial en el trabajo para proteger, mejorar y recuperar la salud mental de los trabajadores”.</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 </w:t>
      </w:r>
    </w:p>
    <w:p w:rsidR="00F3021C" w:rsidRPr="00F3021C" w:rsidRDefault="00F3021C" w:rsidP="00F3021C">
      <w:pPr>
        <w:spacing w:line="240" w:lineRule="auto"/>
        <w:rPr>
          <w:rFonts w:eastAsia="Times New Roman" w:cs="Times New Roman"/>
          <w:color w:val="000000"/>
          <w:szCs w:val="24"/>
          <w:lang w:eastAsia="es-CO"/>
        </w:rPr>
      </w:pPr>
      <w:proofErr w:type="gramStart"/>
      <w:r w:rsidRPr="00F3021C">
        <w:rPr>
          <w:rFonts w:eastAsia="Times New Roman" w:cs="Times New Roman"/>
          <w:color w:val="000000"/>
          <w:szCs w:val="24"/>
          <w:lang w:eastAsia="es-CO"/>
        </w:rPr>
        <w:t>Que</w:t>
      </w:r>
      <w:proofErr w:type="gramEnd"/>
      <w:r w:rsidRPr="00F3021C">
        <w:rPr>
          <w:rFonts w:eastAsia="Times New Roman" w:cs="Times New Roman"/>
          <w:color w:val="000000"/>
          <w:szCs w:val="24"/>
          <w:lang w:eastAsia="es-CO"/>
        </w:rPr>
        <w:t xml:space="preserve"> en las Encuestas Nacionales de Condiciones de Salud y Trabajo en el Sistema General de Riesgos Laborales, realizadas por el Ministerio del Trabajo durante los años 2007 y 2013, en empresas de diferentes actividades económicas y regiones del país, se identificó la presencia de los factores de riesgo psicosociales como prioritarios por parte de los trabajadores y empleadores. Dos de cada tres trabajadores manifestaron estar expuestos a factores psicosociales durante la última jornada laboral completa y entre un 20 y 33% sentir altos niveles de estrés. Esta situación evidencia la necesidad de fortalecer las acciones de prevención de los factores de riesgo psicosocial, para lo cual se hace necesario cualificar los procesos de identificación, evaluación e intervención de los mismos.</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 </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Que la Resolución 2646 de 2008 expedida por el entonces Ministerio de la Protección Social, define las responsabilidades de los diferentes actores sociales en cuanto a la identificación, evaluación, prevención, intervención y monitoreo permanente de la exposición a los factores de riesgo psicosocial en el trabajo, así como el estudio y determinación del origen de patologías presuntamente causadas por estrés ocupacional, y señala en el artículo 10 que “(…) </w:t>
      </w:r>
      <w:r w:rsidRPr="00F3021C">
        <w:rPr>
          <w:rFonts w:eastAsia="Times New Roman" w:cs="Times New Roman"/>
          <w:i/>
          <w:iCs/>
          <w:color w:val="000000"/>
          <w:szCs w:val="24"/>
          <w:lang w:eastAsia="es-CO"/>
        </w:rPr>
        <w:t>los factores psicosociales deben ser evaluados objetiva y subjetivamente, utilizando los instrumentos que para el efecto hayan sido validados en el país”.</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 </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 xml:space="preserve">Que el entonces Ministerio de la Protección Social, durante los años 2009 y 2010, realizó un estudio de investigación para el diseño de una batería de instrumentos para la evaluación de los factores de riesgo psicosociales y validación de la misma en una muestra de trabajadores afiliados al Sistema General de Riesgos Profesionales, hoy Riesgos Laborales. Como resultado de este estudio, se cuenta con un conjunto de instrumentos válidos y confiables, que pueden ser utilizados para identificar los factores de riesgo a los cuales se encuentran expuestos los trabajadores de diferentes actividades económicas y oficios. La utilización de estos instrumentos es de libre acceso, sin costo alguno permite cualificar los procesos de </w:t>
      </w:r>
      <w:r w:rsidRPr="00F3021C">
        <w:rPr>
          <w:rFonts w:eastAsia="Times New Roman" w:cs="Times New Roman"/>
          <w:color w:val="000000"/>
          <w:szCs w:val="24"/>
          <w:lang w:eastAsia="es-CO"/>
        </w:rPr>
        <w:lastRenderedPageBreak/>
        <w:t>evaluación de factores de riesgo psicosociales y contar con información que permita focalizar programas, planes y acciones dirigidas a la prevención y control de estos factores de riesgo.</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 </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Que teniendo en cuenta la responsabilidad de los empleadores en la intervención de los factores psicosociales en el trabajo y sus efectos, establecida en el artículo 13 de la referida Resolución 2646 de 2008, en el año 2015 el Ministerio del Trabajo consideró prioritario definir los procedimientos para la intervención de estos factores de riesgo, para lo cual se diseñó un protocolo de intervención de factores de riesgo psicosocial. Este protocolo incluye una guía técnica general que contempla acciones de intervención y control frente a cada uno de los factores de riesgo psicosocial y sus efectos, al igual que protocolos específicos de actuación frente al “</w:t>
      </w:r>
      <w:proofErr w:type="spellStart"/>
      <w:r w:rsidRPr="00F3021C">
        <w:rPr>
          <w:rFonts w:eastAsia="Times New Roman" w:cs="Times New Roman"/>
          <w:color w:val="000000"/>
          <w:szCs w:val="24"/>
          <w:lang w:eastAsia="es-CO"/>
        </w:rPr>
        <w:t>burn-out</w:t>
      </w:r>
      <w:proofErr w:type="spellEnd"/>
      <w:r w:rsidRPr="00F3021C">
        <w:rPr>
          <w:rFonts w:eastAsia="Times New Roman" w:cs="Times New Roman"/>
          <w:color w:val="000000"/>
          <w:szCs w:val="24"/>
          <w:lang w:eastAsia="es-CO"/>
        </w:rPr>
        <w:t>” o síndrome de agotamiento laboral, acoso psicológico, manejo del duelo, estrés postraumático, estrés agudo, depresión y protocolos por actividades económicas prioritarias.</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 </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Que de acuerdo con las consultas que han llegado al Ministerio del Trabajo sobre instrumentos de evaluación de factores de riesgo psicosocial se ha identificado que en la actualidad algunas empresas dentro de sus Sistemas de Gestión de Seguridad y Salud en el Trabajo, se encuentran realizando procesos de evaluación de estos factores de riesgo, no obstante, están utilizando instrumentos y metodologías que no han sido validadas a nivel nacional. De igual forma se ha evidenciado que no están desarrollando actividades de intervención y control, ya que no cuentan con lineamientos, ni procedimientos unificados para el desarrollo de estas actividades.</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 </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Que con el fin de brindar las herramientas adecuadas e instrumentos unificados para la evaluación de los factores de riesgo psicosocial de los trabajadores en Colombia, el Ministerio del Trabajo ha considerado necesario adoptar la Batería de Instrumentos para la Evaluación de Factores de Riesgo Psicosocial, la Guía Técnica General para la Promoción, Prevención e Intervención de los Factores Psicosociales y sus efectos en la población trabajadora y sus Protocolos Específicos, como referentes técnicos obligatorios, para la identificación, evaluación e intervención de los factores de riesgo psicosocial.</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 </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En mérito de lo expuesto,</w:t>
      </w:r>
    </w:p>
    <w:p w:rsidR="00F3021C" w:rsidRPr="00F3021C" w:rsidRDefault="00F3021C" w:rsidP="00F3021C">
      <w:pPr>
        <w:spacing w:line="240" w:lineRule="auto"/>
        <w:jc w:val="center"/>
        <w:rPr>
          <w:rFonts w:eastAsia="Times New Roman" w:cs="Times New Roman"/>
          <w:color w:val="000000"/>
          <w:szCs w:val="24"/>
          <w:lang w:eastAsia="es-CO"/>
        </w:rPr>
      </w:pPr>
      <w:r w:rsidRPr="00F3021C">
        <w:rPr>
          <w:rFonts w:eastAsia="Times New Roman" w:cs="Times New Roman"/>
          <w:color w:val="000000"/>
          <w:szCs w:val="24"/>
          <w:lang w:eastAsia="es-CO"/>
        </w:rPr>
        <w:t> </w:t>
      </w:r>
    </w:p>
    <w:p w:rsidR="00F3021C" w:rsidRPr="00F3021C" w:rsidRDefault="00F3021C" w:rsidP="00F3021C">
      <w:pPr>
        <w:spacing w:line="240" w:lineRule="auto"/>
        <w:jc w:val="center"/>
        <w:rPr>
          <w:rFonts w:eastAsia="Times New Roman" w:cs="Times New Roman"/>
          <w:color w:val="000000"/>
          <w:szCs w:val="24"/>
          <w:lang w:eastAsia="es-CO"/>
        </w:rPr>
      </w:pPr>
      <w:r w:rsidRPr="00F3021C">
        <w:rPr>
          <w:rFonts w:eastAsia="Times New Roman" w:cs="Times New Roman"/>
          <w:color w:val="000000"/>
          <w:szCs w:val="24"/>
          <w:lang w:eastAsia="es-CO"/>
        </w:rPr>
        <w:t> </w:t>
      </w:r>
    </w:p>
    <w:p w:rsidR="00F3021C" w:rsidRPr="00F3021C" w:rsidRDefault="00F3021C" w:rsidP="00F3021C">
      <w:pPr>
        <w:spacing w:line="240" w:lineRule="auto"/>
        <w:jc w:val="center"/>
        <w:rPr>
          <w:rFonts w:eastAsia="Times New Roman" w:cs="Times New Roman"/>
          <w:color w:val="000000"/>
          <w:szCs w:val="24"/>
          <w:lang w:eastAsia="es-CO"/>
        </w:rPr>
      </w:pPr>
      <w:r w:rsidRPr="00F3021C">
        <w:rPr>
          <w:rFonts w:eastAsia="Times New Roman" w:cs="Times New Roman"/>
          <w:b/>
          <w:bCs/>
          <w:color w:val="000000"/>
          <w:szCs w:val="24"/>
          <w:lang w:eastAsia="es-CO"/>
        </w:rPr>
        <w:t>RESUELVE:</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b/>
          <w:bCs/>
          <w:color w:val="000000"/>
          <w:szCs w:val="24"/>
          <w:lang w:eastAsia="es-CO"/>
        </w:rPr>
        <w:t> </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b/>
          <w:bCs/>
          <w:color w:val="000000"/>
          <w:szCs w:val="24"/>
          <w:highlight w:val="green"/>
          <w:lang w:eastAsia="es-CO"/>
        </w:rPr>
        <w:t>Artículo 1°.</w:t>
      </w:r>
      <w:r w:rsidRPr="00F3021C">
        <w:rPr>
          <w:rFonts w:eastAsia="Times New Roman" w:cs="Times New Roman"/>
          <w:color w:val="000000"/>
          <w:szCs w:val="24"/>
          <w:highlight w:val="green"/>
          <w:lang w:eastAsia="es-CO"/>
        </w:rPr>
        <w:t> </w:t>
      </w:r>
      <w:r w:rsidRPr="00F3021C">
        <w:rPr>
          <w:rFonts w:eastAsia="Times New Roman" w:cs="Times New Roman"/>
          <w:i/>
          <w:iCs/>
          <w:color w:val="000000"/>
          <w:szCs w:val="24"/>
          <w:highlight w:val="green"/>
          <w:lang w:eastAsia="es-CO"/>
        </w:rPr>
        <w:t>Objeto. </w:t>
      </w:r>
      <w:r w:rsidRPr="00F3021C">
        <w:rPr>
          <w:rFonts w:eastAsia="Times New Roman" w:cs="Times New Roman"/>
          <w:color w:val="000000"/>
          <w:szCs w:val="24"/>
          <w:highlight w:val="green"/>
          <w:lang w:eastAsia="es-CO"/>
        </w:rPr>
        <w:t>La presente resolución tiene por objeto adoptar como referentes técnicos mínimos obligatorios, para la identificación, evaluación, monitoreo permanente e intervención de los factores de riesgo psicosocial, los siguientes Instrumentos de Evaluación y Guías de Intervención:</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 </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szCs w:val="24"/>
          <w:lang w:eastAsia="es-CO"/>
        </w:rPr>
        <w:t>1. Batería de Instrumentos para la Evaluación de Factores de Riesgo Psicosocial.</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2. Guía Técnica General para la Promoción, Prevención e Intervención de los Factores Psicosociales y sus Efectos en la Población Trabajadora.</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3. Protocolo de acciones de promoción, prevención e intervención de los factores psicosociales y sus efectos en el entorno laboral.</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4. Protocolo de intervención de factores psicosociales en entidades de la administración pública - Prácticas de trabajo saludables en la administración pública.</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5. Protocolo de intervención de factores psicosociales en instituciones nacionales del sector Defensa - Cultura de vida y trabajo saludables.</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6. Protocolo de intervención de factores psicosociales para trabajadores de la salud y asistencia social- Gestión de demandas en el trabajo.</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7. Protocolo de intervención de factores psicosociales para trabajadores del sector transporte - Gestión de la jornada y prevención de la fatiga laboral.</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8. Protocolo de intervención de factores psicosociales en el sector educativo - Prácticas de trabajo saludable para educadores.</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lastRenderedPageBreak/>
        <w:t>9. Protocolo de intervención de factores psicosociales para trabajadores del sector financiero - Gestión del liderazgo y las demandas mentales en el trabajo.</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10. Protocolo de prevención y actuación - Acoso laboral.</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11. Protocolo de prevención y actuación - Síndrome de agotamiento laboral - “</w:t>
      </w:r>
      <w:proofErr w:type="spellStart"/>
      <w:r w:rsidRPr="00F3021C">
        <w:rPr>
          <w:rFonts w:eastAsia="Times New Roman" w:cs="Times New Roman"/>
          <w:color w:val="000000"/>
          <w:szCs w:val="24"/>
          <w:lang w:eastAsia="es-CO"/>
        </w:rPr>
        <w:t>Burn</w:t>
      </w:r>
      <w:proofErr w:type="spellEnd"/>
      <w:r w:rsidRPr="00F3021C">
        <w:rPr>
          <w:rFonts w:eastAsia="Times New Roman" w:cs="Times New Roman"/>
          <w:color w:val="000000"/>
          <w:szCs w:val="24"/>
          <w:lang w:eastAsia="es-CO"/>
        </w:rPr>
        <w:t xml:space="preserve"> </w:t>
      </w:r>
      <w:proofErr w:type="spellStart"/>
      <w:r w:rsidRPr="00F3021C">
        <w:rPr>
          <w:rFonts w:eastAsia="Times New Roman" w:cs="Times New Roman"/>
          <w:color w:val="000000"/>
          <w:szCs w:val="24"/>
          <w:lang w:eastAsia="es-CO"/>
        </w:rPr>
        <w:t>out</w:t>
      </w:r>
      <w:proofErr w:type="spellEnd"/>
      <w:r w:rsidRPr="00F3021C">
        <w:rPr>
          <w:rFonts w:eastAsia="Times New Roman" w:cs="Times New Roman"/>
          <w:color w:val="000000"/>
          <w:szCs w:val="24"/>
          <w:lang w:eastAsia="es-CO"/>
        </w:rPr>
        <w:t>”.</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12. Protocolo de prevención y actuación en el entorno laboral – Depresión.</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13. Protocolo de actuación temprana y manejo de casos en el entorno laboral - Trastorno de estrés postraumático.</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14. Protocolo de prevención y actuación en el entorno laboral - Reacción a estrés agudo.</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15. Protocolo de actuación en el entorno laboral - Situaciones de duelo.</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 </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b/>
          <w:bCs/>
          <w:color w:val="000000"/>
          <w:szCs w:val="24"/>
          <w:highlight w:val="green"/>
          <w:lang w:eastAsia="es-CO"/>
        </w:rPr>
        <w:t>Parágrafo.</w:t>
      </w:r>
      <w:r w:rsidRPr="00F3021C">
        <w:rPr>
          <w:rFonts w:eastAsia="Times New Roman" w:cs="Times New Roman"/>
          <w:color w:val="000000"/>
          <w:szCs w:val="24"/>
          <w:highlight w:val="green"/>
          <w:lang w:eastAsia="es-CO"/>
        </w:rPr>
        <w:t> Los Instrumentos de Evaluación y Guías de intervención que se adoptan como referentes técnicos forman parte integral de la presente resolución y se encuentran publicados en la página web: </w:t>
      </w:r>
      <w:hyperlink r:id="rId4" w:history="1">
        <w:r w:rsidRPr="00F3021C">
          <w:rPr>
            <w:rFonts w:eastAsia="Times New Roman" w:cs="Times New Roman"/>
            <w:color w:val="0563C1"/>
            <w:szCs w:val="24"/>
            <w:highlight w:val="green"/>
            <w:u w:val="single"/>
            <w:lang w:eastAsia="es-CO"/>
          </w:rPr>
          <w:t>www.fondoriesgoslaborales.gov.co</w:t>
        </w:r>
      </w:hyperlink>
      <w:r w:rsidRPr="00F3021C">
        <w:rPr>
          <w:rFonts w:eastAsia="Times New Roman" w:cs="Times New Roman"/>
          <w:color w:val="000000"/>
          <w:szCs w:val="24"/>
          <w:lang w:eastAsia="es-CO"/>
        </w:rPr>
        <w:t>.</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 </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En todo caso, dichos instrumentos y guías podrán ser objeto de actualización por parte de la Dirección de Riesgos Laborales del Ministerio del Trabajo o la dependencia que haga sus veces quien para el efecto, publicará la versión respectiva en la página web </w:t>
      </w:r>
      <w:hyperlink r:id="rId5" w:history="1">
        <w:r w:rsidRPr="00F3021C">
          <w:rPr>
            <w:rFonts w:eastAsia="Times New Roman" w:cs="Times New Roman"/>
            <w:color w:val="0563C1"/>
            <w:szCs w:val="24"/>
            <w:u w:val="single"/>
            <w:lang w:eastAsia="es-CO"/>
          </w:rPr>
          <w:t>www.fondoriesgoslaborales.gov.co</w:t>
        </w:r>
      </w:hyperlink>
      <w:r w:rsidRPr="00F3021C">
        <w:rPr>
          <w:rFonts w:eastAsia="Times New Roman" w:cs="Times New Roman"/>
          <w:color w:val="000000"/>
          <w:szCs w:val="24"/>
          <w:lang w:eastAsia="es-CO"/>
        </w:rPr>
        <w:t>.</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 </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b/>
          <w:bCs/>
          <w:color w:val="000000"/>
          <w:szCs w:val="24"/>
          <w:highlight w:val="green"/>
          <w:lang w:eastAsia="es-CO"/>
        </w:rPr>
        <w:t>Artículo 2°.</w:t>
      </w:r>
      <w:r w:rsidRPr="00F3021C">
        <w:rPr>
          <w:rFonts w:eastAsia="Times New Roman" w:cs="Times New Roman"/>
          <w:color w:val="000000"/>
          <w:szCs w:val="24"/>
          <w:highlight w:val="green"/>
          <w:lang w:eastAsia="es-CO"/>
        </w:rPr>
        <w:t> </w:t>
      </w:r>
      <w:r w:rsidRPr="00F3021C">
        <w:rPr>
          <w:rFonts w:eastAsia="Times New Roman" w:cs="Times New Roman"/>
          <w:i/>
          <w:iCs/>
          <w:color w:val="000000"/>
          <w:szCs w:val="24"/>
          <w:highlight w:val="green"/>
          <w:lang w:eastAsia="es-CO"/>
        </w:rPr>
        <w:t>Ámbito de aplicación.</w:t>
      </w:r>
      <w:r w:rsidRPr="00F3021C">
        <w:rPr>
          <w:rFonts w:eastAsia="Times New Roman" w:cs="Times New Roman"/>
          <w:color w:val="000000"/>
          <w:szCs w:val="24"/>
          <w:highlight w:val="green"/>
          <w:lang w:eastAsia="es-CO"/>
        </w:rPr>
        <w:t> La presente resolución se aplica a todos los empleadores públicos y privados, a los trabajadores dependientes e independientes, a los contratantes de personal bajo modalidad de contrato civil, comercial o administrativo, a las organizaciones de economía solidaria y del sector cooperativo, las empresas de servicios temporales, a las agremiaciones o asociaciones que afilian trabajadores independientes al Sistema de Seguridad Social Integral, a los estudiantes afiliados al Sistema General de Riesgos Laborales, a los trabajadores en misión, a la Policía Nacional en lo que corresponde a su personal no uniformado y al personal civil de las Fuerzas Militares.</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 </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b/>
          <w:bCs/>
          <w:color w:val="000000"/>
          <w:szCs w:val="24"/>
          <w:lang w:eastAsia="es-CO"/>
        </w:rPr>
        <w:t>Parágrafo.</w:t>
      </w:r>
      <w:r w:rsidRPr="00F3021C">
        <w:rPr>
          <w:rFonts w:eastAsia="Times New Roman" w:cs="Times New Roman"/>
          <w:color w:val="000000"/>
          <w:szCs w:val="24"/>
          <w:lang w:eastAsia="es-CO"/>
        </w:rPr>
        <w:t> Los instrumentos y guías que se adoptan mediante la presente resolución y sus actualizaciones, realizadas por la Dirección de Riesgos Laborales del Ministerio del Trabajo o la dependencia que haga sus veces de conformidad con el parágrafo del artículo anterior, son de obligatorio cumplimiento, de libre acceso y no tienen costo alguno para los usuarios.</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 </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b/>
          <w:bCs/>
          <w:color w:val="000000"/>
          <w:szCs w:val="24"/>
          <w:lang w:eastAsia="es-CO"/>
        </w:rPr>
        <w:t>Artículo 3°.</w:t>
      </w:r>
      <w:r w:rsidRPr="00F3021C">
        <w:rPr>
          <w:rFonts w:eastAsia="Times New Roman" w:cs="Times New Roman"/>
          <w:color w:val="000000"/>
          <w:szCs w:val="24"/>
          <w:lang w:eastAsia="es-CO"/>
        </w:rPr>
        <w:t> </w:t>
      </w:r>
      <w:r w:rsidRPr="00F3021C">
        <w:rPr>
          <w:rFonts w:eastAsia="Times New Roman" w:cs="Times New Roman"/>
          <w:i/>
          <w:iCs/>
          <w:color w:val="000000"/>
          <w:szCs w:val="24"/>
          <w:lang w:eastAsia="es-CO"/>
        </w:rPr>
        <w:t>Periodicidad de la Evaluación</w:t>
      </w:r>
      <w:r w:rsidRPr="00F3021C">
        <w:rPr>
          <w:rFonts w:eastAsia="Times New Roman" w:cs="Times New Roman"/>
          <w:color w:val="000000"/>
          <w:szCs w:val="24"/>
          <w:lang w:eastAsia="es-CO"/>
        </w:rPr>
        <w:t>. La evaluación de los factores de riesgo psicosocial debe realizarse de forma periódica, de acuerdo al nivel de riesgo de las empresas.</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 </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Las empresas en las cuales se ha identificado un nivel de factores psicosociales nocivos evaluados como de alto riesgo o que están causando efectos negativos en la salud, en el bienestar o en el trabajo, deben realizar la evaluación de forma anual, enmarcado dentro del sistema de vigilancia epidemiológica de factores de riesgo psicosociales.</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 </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b/>
          <w:bCs/>
          <w:color w:val="000000"/>
          <w:szCs w:val="24"/>
          <w:lang w:eastAsia="es-CO"/>
        </w:rPr>
        <w:t>Parágrafo.</w:t>
      </w:r>
      <w:r w:rsidRPr="00F3021C">
        <w:rPr>
          <w:rFonts w:eastAsia="Times New Roman" w:cs="Times New Roman"/>
          <w:color w:val="000000"/>
          <w:szCs w:val="24"/>
          <w:lang w:eastAsia="es-CO"/>
        </w:rPr>
        <w:t> Las empresas en las cuales se ha identificado un nivel de riesgo medio o bajo, deben realizar acciones preventivas y correctivas, y una vez implementadas, realizar la evaluación correspondiente como mínimo cada dos años, para hacer seguimiento a los factores de riesgo y contar con información actualizada.</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 </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b/>
          <w:bCs/>
          <w:color w:val="000000"/>
          <w:szCs w:val="24"/>
          <w:lang w:eastAsia="es-CO"/>
        </w:rPr>
        <w:t>Artículo 4°.</w:t>
      </w:r>
      <w:r w:rsidRPr="00F3021C">
        <w:rPr>
          <w:rFonts w:eastAsia="Times New Roman" w:cs="Times New Roman"/>
          <w:color w:val="000000"/>
          <w:szCs w:val="24"/>
          <w:lang w:eastAsia="es-CO"/>
        </w:rPr>
        <w:t> </w:t>
      </w:r>
      <w:r w:rsidRPr="00F3021C">
        <w:rPr>
          <w:rFonts w:eastAsia="Times New Roman" w:cs="Times New Roman"/>
          <w:i/>
          <w:iCs/>
          <w:color w:val="000000"/>
          <w:szCs w:val="24"/>
          <w:lang w:eastAsia="es-CO"/>
        </w:rPr>
        <w:t>Batería de Instrumentos para la Evaluación de Factores de Riesgo Psicosocial</w:t>
      </w:r>
      <w:r w:rsidRPr="00F3021C">
        <w:rPr>
          <w:rFonts w:eastAsia="Times New Roman" w:cs="Times New Roman"/>
          <w:color w:val="000000"/>
          <w:szCs w:val="24"/>
          <w:lang w:eastAsia="es-CO"/>
        </w:rPr>
        <w:t xml:space="preserve">. La Batería está conformada por un conjunto de instrumentos que permiten establecer la presencia o ausencia de factores de riesgo psicosocial </w:t>
      </w:r>
      <w:proofErr w:type="spellStart"/>
      <w:r w:rsidRPr="00F3021C">
        <w:rPr>
          <w:rFonts w:eastAsia="Times New Roman" w:cs="Times New Roman"/>
          <w:color w:val="000000"/>
          <w:szCs w:val="24"/>
          <w:lang w:eastAsia="es-CO"/>
        </w:rPr>
        <w:t>intralaboral</w:t>
      </w:r>
      <w:proofErr w:type="spellEnd"/>
      <w:r w:rsidRPr="00F3021C">
        <w:rPr>
          <w:rFonts w:eastAsia="Times New Roman" w:cs="Times New Roman"/>
          <w:color w:val="000000"/>
          <w:szCs w:val="24"/>
          <w:lang w:eastAsia="es-CO"/>
        </w:rPr>
        <w:t xml:space="preserve"> y </w:t>
      </w:r>
      <w:proofErr w:type="spellStart"/>
      <w:r w:rsidRPr="00F3021C">
        <w:rPr>
          <w:rFonts w:eastAsia="Times New Roman" w:cs="Times New Roman"/>
          <w:color w:val="000000"/>
          <w:szCs w:val="24"/>
          <w:lang w:eastAsia="es-CO"/>
        </w:rPr>
        <w:t>extralaboral</w:t>
      </w:r>
      <w:proofErr w:type="spellEnd"/>
      <w:r w:rsidRPr="00F3021C">
        <w:rPr>
          <w:rFonts w:eastAsia="Times New Roman" w:cs="Times New Roman"/>
          <w:color w:val="000000"/>
          <w:szCs w:val="24"/>
          <w:lang w:eastAsia="es-CO"/>
        </w:rPr>
        <w:t>, así como los efectos en la salud de los trabajadores o en el trabajo.</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b/>
          <w:bCs/>
          <w:color w:val="000000"/>
          <w:szCs w:val="24"/>
          <w:lang w:eastAsia="es-CO"/>
        </w:rPr>
        <w:t> </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b/>
          <w:bCs/>
          <w:color w:val="000000"/>
          <w:szCs w:val="24"/>
          <w:lang w:eastAsia="es-CO"/>
        </w:rPr>
        <w:t>1. Instrumentos de la batería para la evaluación del riesgo psicosocial.</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 </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Los instrumentos que conforman la Batería y que deben ser utilizados para las evaluaciones periódicas de los factores de riesgo psicosocial son los siguientes:</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 </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 xml:space="preserve">1.1. Cuestionario de factores de riesgo psicosocial </w:t>
      </w:r>
      <w:proofErr w:type="spellStart"/>
      <w:r w:rsidRPr="00F3021C">
        <w:rPr>
          <w:rFonts w:eastAsia="Times New Roman" w:cs="Times New Roman"/>
          <w:color w:val="000000"/>
          <w:szCs w:val="24"/>
          <w:lang w:eastAsia="es-CO"/>
        </w:rPr>
        <w:t>intralaboral</w:t>
      </w:r>
      <w:proofErr w:type="spellEnd"/>
      <w:r w:rsidRPr="00F3021C">
        <w:rPr>
          <w:rFonts w:eastAsia="Times New Roman" w:cs="Times New Roman"/>
          <w:color w:val="000000"/>
          <w:szCs w:val="24"/>
          <w:lang w:eastAsia="es-CO"/>
        </w:rPr>
        <w:t>.</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lastRenderedPageBreak/>
        <w:t xml:space="preserve">1.2. Cuestionario de factores de riesgo psicosocial </w:t>
      </w:r>
      <w:proofErr w:type="spellStart"/>
      <w:r w:rsidRPr="00F3021C">
        <w:rPr>
          <w:rFonts w:eastAsia="Times New Roman" w:cs="Times New Roman"/>
          <w:color w:val="000000"/>
          <w:szCs w:val="24"/>
          <w:lang w:eastAsia="es-CO"/>
        </w:rPr>
        <w:t>extralaboral</w:t>
      </w:r>
      <w:proofErr w:type="spellEnd"/>
      <w:r w:rsidRPr="00F3021C">
        <w:rPr>
          <w:rFonts w:eastAsia="Times New Roman" w:cs="Times New Roman"/>
          <w:color w:val="000000"/>
          <w:szCs w:val="24"/>
          <w:lang w:eastAsia="es-CO"/>
        </w:rPr>
        <w:t>.</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1.3. Cuestionario para la evaluación del estrés.</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1.4. Ficha de datos generales (sociodemográficos y ocupacionales).</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 </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La aplicación de los cuestionarios debe realizarse garantizando la reserva y la confidencialidad de la información, siguiendo las instrucciones y condiciones establecidas en los manuales del usuario de cada uno de los cuestionarios de la batería. No pueden realizarse modificaciones de forma ni de fondo a dichos cuestionarios ya que afectarían la validez y confiabilidad de los instrumentos.</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 </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b/>
          <w:bCs/>
          <w:color w:val="000000"/>
          <w:szCs w:val="24"/>
          <w:lang w:eastAsia="es-CO"/>
        </w:rPr>
        <w:t>Parágrafo.</w:t>
      </w:r>
      <w:r w:rsidRPr="00F3021C">
        <w:rPr>
          <w:rFonts w:eastAsia="Times New Roman" w:cs="Times New Roman"/>
          <w:color w:val="000000"/>
          <w:szCs w:val="24"/>
          <w:lang w:eastAsia="es-CO"/>
        </w:rPr>
        <w:t> A partir del momento en el que el Ministerio del Trabajo publique en la página web del Fondo de Riesgos Laborales el software para la aplicación de la Batería de Instrumentos de Evaluación de Factores de Riesgo Psicosocial, los empleadores o contratantes podrán aplicarlo de manera virtual siempre y cuando cumplan con los criterios de seguridad de información establecidos para este fin.</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b/>
          <w:bCs/>
          <w:color w:val="000000"/>
          <w:szCs w:val="24"/>
          <w:lang w:eastAsia="es-CO"/>
        </w:rPr>
        <w:t> </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b/>
          <w:bCs/>
          <w:color w:val="000000"/>
          <w:szCs w:val="24"/>
          <w:lang w:eastAsia="es-CO"/>
        </w:rPr>
        <w:t>2. Guías para el análisis psicosocial.</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 </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Las Guías de análisis psicosocial que hacen parte de la batería y que deben ser utilizadas para las evaluaciones a profundidad de los factores de riesgo psicosocial son las siguientes:</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 </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2.1. Guía para el análisis psicosocial de puestos de trabajo.</w:t>
      </w:r>
    </w:p>
    <w:p w:rsidR="00F3021C" w:rsidRPr="00F3021C" w:rsidRDefault="00F3021C" w:rsidP="00F3021C">
      <w:pPr>
        <w:spacing w:line="240" w:lineRule="auto"/>
        <w:rPr>
          <w:rFonts w:eastAsia="Times New Roman" w:cs="Times New Roman"/>
          <w:color w:val="000000"/>
          <w:szCs w:val="24"/>
          <w:lang w:eastAsia="es-CO"/>
        </w:rPr>
      </w:pP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 xml:space="preserve">2.2. Guía de entrevistas semiestructuradas para la evaluación de factores de riesgo psicosocial </w:t>
      </w:r>
      <w:proofErr w:type="spellStart"/>
      <w:r w:rsidRPr="00F3021C">
        <w:rPr>
          <w:rFonts w:eastAsia="Times New Roman" w:cs="Times New Roman"/>
          <w:color w:val="000000"/>
          <w:szCs w:val="24"/>
          <w:lang w:eastAsia="es-CO"/>
        </w:rPr>
        <w:t>intralaboral</w:t>
      </w:r>
      <w:proofErr w:type="spellEnd"/>
      <w:r w:rsidRPr="00F3021C">
        <w:rPr>
          <w:rFonts w:eastAsia="Times New Roman" w:cs="Times New Roman"/>
          <w:color w:val="000000"/>
          <w:szCs w:val="24"/>
          <w:lang w:eastAsia="es-CO"/>
        </w:rPr>
        <w:t>.</w:t>
      </w:r>
    </w:p>
    <w:p w:rsidR="00F3021C" w:rsidRPr="00F3021C" w:rsidRDefault="00F3021C" w:rsidP="00F3021C">
      <w:pPr>
        <w:spacing w:line="240" w:lineRule="auto"/>
        <w:rPr>
          <w:rFonts w:eastAsia="Times New Roman" w:cs="Times New Roman"/>
          <w:color w:val="000000"/>
          <w:szCs w:val="24"/>
          <w:lang w:eastAsia="es-CO"/>
        </w:rPr>
      </w:pP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 xml:space="preserve">2.3. Guía de grupos focales para la evaluación de factores de riesgo psicosocial </w:t>
      </w:r>
      <w:proofErr w:type="spellStart"/>
      <w:r w:rsidRPr="00F3021C">
        <w:rPr>
          <w:rFonts w:eastAsia="Times New Roman" w:cs="Times New Roman"/>
          <w:color w:val="000000"/>
          <w:szCs w:val="24"/>
          <w:lang w:eastAsia="es-CO"/>
        </w:rPr>
        <w:t>intralaboral</w:t>
      </w:r>
      <w:proofErr w:type="spellEnd"/>
      <w:r w:rsidRPr="00F3021C">
        <w:rPr>
          <w:rFonts w:eastAsia="Times New Roman" w:cs="Times New Roman"/>
          <w:color w:val="000000"/>
          <w:szCs w:val="24"/>
          <w:lang w:eastAsia="es-CO"/>
        </w:rPr>
        <w:t>.</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 </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Además de los instrumentos señalados anteriormente, los empleadores o contratantes podrán utilizar herramientas adicionales para evaluar los factores individuales y los efectos de los factores de riesgo psicosocial, que faciliten la identificación temprana de síntomas y signos asociados al estrés laboral y la gestión psicosocial oportuna.</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 </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Para la evaluación de características de personalidad y estilos de afrontamiento se deben seguir las recomendaciones establecidas en el Manual General de la Batería que hace parte de dicho documento.</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 </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Las Administradoras de Riesgos Laborales deben desarrollar acciones de promoción de la salud y prevención de los factores de riesgo psicosociales para sus empleadores, contratantes y trabajadores afiliados, así como prestar asesoría y asistencia técnica para la identificación, evaluación e intervención de los factores de riesgo psicosocial prioritarios.</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 </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b/>
          <w:bCs/>
          <w:color w:val="000000"/>
          <w:szCs w:val="24"/>
          <w:lang w:eastAsia="es-CO"/>
        </w:rPr>
        <w:t>Artículo 5°</w:t>
      </w:r>
      <w:r w:rsidRPr="00F3021C">
        <w:rPr>
          <w:rFonts w:eastAsia="Times New Roman" w:cs="Times New Roman"/>
          <w:b/>
          <w:bCs/>
          <w:i/>
          <w:iCs/>
          <w:color w:val="000000"/>
          <w:szCs w:val="24"/>
          <w:lang w:eastAsia="es-CO"/>
        </w:rPr>
        <w:t>.</w:t>
      </w:r>
      <w:r w:rsidRPr="00F3021C">
        <w:rPr>
          <w:rFonts w:eastAsia="Times New Roman" w:cs="Times New Roman"/>
          <w:i/>
          <w:iCs/>
          <w:color w:val="000000"/>
          <w:szCs w:val="24"/>
          <w:lang w:eastAsia="es-CO"/>
        </w:rPr>
        <w:t> Custodia de los instrumentos de evaluación de factores de riesgo psicosocial. </w:t>
      </w:r>
      <w:r w:rsidRPr="00F3021C">
        <w:rPr>
          <w:rFonts w:eastAsia="Times New Roman" w:cs="Times New Roman"/>
          <w:color w:val="000000"/>
          <w:szCs w:val="24"/>
          <w:lang w:eastAsia="es-CO"/>
        </w:rPr>
        <w:t>Para la custodia de los instrumentos de evaluación de factores de riesgo psicosocial se aplicarán las siguientes reglas para cada uno de los casos:</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 </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1. Cuando la aplicación la realice el prestador de servicios de salud ocupacional (IPS) contratado por el empleador o contratante de personal, la custodia de los instrumentos de evaluación de factores de riesgo psicosocial estará a cargo de dicho prestador, y se integrarán a la historia clínica ocupacional del trabajador, cumpliendo los requisitos y procedimientos de archivo conforme a las normas legales vigentes para la historia clínica.</w:t>
      </w:r>
    </w:p>
    <w:p w:rsidR="00F3021C" w:rsidRPr="00F3021C" w:rsidRDefault="00F3021C" w:rsidP="00F3021C">
      <w:pPr>
        <w:spacing w:line="240" w:lineRule="auto"/>
        <w:rPr>
          <w:rFonts w:eastAsia="Times New Roman" w:cs="Times New Roman"/>
          <w:color w:val="000000"/>
          <w:szCs w:val="24"/>
          <w:lang w:eastAsia="es-CO"/>
        </w:rPr>
      </w:pP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 xml:space="preserve">2. Cuando la aplicación la realicen los psicólogos especializados que formen parte de los servicios médicos del empleador o contratante, serán dichos psicólogos quienes tendrán la guarda y custodia de los instrumentos de evaluación de factores de riesgo psicosocial en la historia clínica ocupacional y son responsables de garantizar su confidencialidad, conforme </w:t>
      </w:r>
      <w:r w:rsidRPr="00F3021C">
        <w:rPr>
          <w:rFonts w:eastAsia="Times New Roman" w:cs="Times New Roman"/>
          <w:color w:val="000000"/>
          <w:szCs w:val="24"/>
          <w:lang w:eastAsia="es-CO"/>
        </w:rPr>
        <w:lastRenderedPageBreak/>
        <w:t>lo establece el artículo 16 de la Resolución 2346 de 2007 expedida por el entonces Ministerio de la Protección Social y las demás normas que lo modifiquen, adicionen o sustituyan.</w:t>
      </w:r>
    </w:p>
    <w:p w:rsidR="00F3021C" w:rsidRPr="00F3021C" w:rsidRDefault="00F3021C" w:rsidP="00F3021C">
      <w:pPr>
        <w:spacing w:line="240" w:lineRule="auto"/>
        <w:rPr>
          <w:rFonts w:eastAsia="Times New Roman" w:cs="Times New Roman"/>
          <w:color w:val="000000"/>
          <w:szCs w:val="24"/>
          <w:lang w:eastAsia="es-CO"/>
        </w:rPr>
      </w:pP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3. Cuando sean aplicados por psicólogos especializados contratados externamente, podrán tener la custodia de los instrumentos de evaluación de factores de riesgo psicosocial de acuerdo con lo establecido en el artículo 10 de la Ley 1090 de 2006 que reglamenta la profesión de psicología, asimismo, cumpliendo los requisitos y procedimientos de archivo conforme a las normas legales vigentes para la historia clínica.</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 </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b/>
          <w:bCs/>
          <w:color w:val="000000"/>
          <w:szCs w:val="24"/>
          <w:lang w:eastAsia="es-CO"/>
        </w:rPr>
        <w:t>Parágrafo.</w:t>
      </w:r>
      <w:r w:rsidRPr="00F3021C">
        <w:rPr>
          <w:rFonts w:eastAsia="Times New Roman" w:cs="Times New Roman"/>
          <w:color w:val="000000"/>
          <w:szCs w:val="24"/>
          <w:lang w:eastAsia="es-CO"/>
        </w:rPr>
        <w:t> En ningún caso, los empleadores o contratantes podrán tener, conservar o anexar copia de los instrumentos de evaluación de factores de riesgo psicosocial y de la historia clínica ocupacional en la hoja de vida del trabajador.</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 </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Los informes individuales de evaluación de factores de riesgo psicosocial forman parte de las evaluaciones periódicas ocupacionales y por lo tanto deben reposar en la historia clínica ocupacional de cada trabajador, por lo cual son aplicables a estos documentos las disposiciones legales establecidas para el manejo, archivo y reserva de las historias clínicas ocupacionales.</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 </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Los informes consolidados con la información general por grupos de trabajadores deben reposar en los archivos del Sistema de Gestión de Seguridad y Salud en el Trabajo de los empleadores o contratantes y utilizarse únicamente para fines de intervención de los factores de riesgo psicosocial.</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 </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b/>
          <w:bCs/>
          <w:color w:val="000000"/>
          <w:szCs w:val="24"/>
          <w:lang w:eastAsia="es-CO"/>
        </w:rPr>
        <w:t>Artículo 6°.</w:t>
      </w:r>
      <w:r w:rsidRPr="00F3021C">
        <w:rPr>
          <w:rFonts w:eastAsia="Times New Roman" w:cs="Times New Roman"/>
          <w:color w:val="000000"/>
          <w:szCs w:val="24"/>
          <w:lang w:eastAsia="es-CO"/>
        </w:rPr>
        <w:t> </w:t>
      </w:r>
      <w:r w:rsidRPr="00F3021C">
        <w:rPr>
          <w:rFonts w:eastAsia="Times New Roman" w:cs="Times New Roman"/>
          <w:i/>
          <w:iCs/>
          <w:color w:val="000000"/>
          <w:szCs w:val="24"/>
          <w:lang w:eastAsia="es-CO"/>
        </w:rPr>
        <w:t>Guía Técnica General y protocolos para la promoción, prevención e intervención de los Factores Psicosociales y sus efectos en la población trabajadora. </w:t>
      </w:r>
      <w:r w:rsidRPr="00F3021C">
        <w:rPr>
          <w:rFonts w:eastAsia="Times New Roman" w:cs="Times New Roman"/>
          <w:color w:val="000000"/>
          <w:szCs w:val="24"/>
          <w:lang w:eastAsia="es-CO"/>
        </w:rPr>
        <w:t>La Guía Técnica General para la promoción, prevención e intervención de los factores psicosociales y sus efectos presenta las acciones, estrategias y los protocolos específicos enunciados en los numerales 3 al 15 del artículo 1° de la presente resolución, bajo tres enfoques:</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 </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1. Como herramienta de promoción de la salud y los factores protectores, la intervención de los factores de riesgo y la prevención de los efectos adversos en la salud de las personas.</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2. Como componentes del Sistema de Gestión de Seguridad y Salud en el Trabajo (SG-SST).</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3. Como mecanismo de intervención de los factores de riesgo identificados a través de la Batería de Instrumentos para la Evaluación de los Factores de Riesgos Psicosociales</w:t>
      </w:r>
      <w:r w:rsidRPr="00F3021C">
        <w:rPr>
          <w:rFonts w:eastAsia="Times New Roman" w:cs="Times New Roman"/>
          <w:i/>
          <w:iCs/>
          <w:color w:val="000000"/>
          <w:szCs w:val="24"/>
          <w:lang w:eastAsia="es-CO"/>
        </w:rPr>
        <w:t>.</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 </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La Guía General contempla acciones de intervención y control frente a cada uno de los dominios y dimensiones contemplados en la Batería de Instrumentos de Evaluación de Factores de Riesgo Psicosocial y sus efectos, al igual que guías específicas de actuación frente al “</w:t>
      </w:r>
      <w:proofErr w:type="spellStart"/>
      <w:r w:rsidRPr="00F3021C">
        <w:rPr>
          <w:rFonts w:eastAsia="Times New Roman" w:cs="Times New Roman"/>
          <w:color w:val="000000"/>
          <w:szCs w:val="24"/>
          <w:lang w:eastAsia="es-CO"/>
        </w:rPr>
        <w:t>burn</w:t>
      </w:r>
      <w:proofErr w:type="spellEnd"/>
      <w:r w:rsidRPr="00F3021C">
        <w:rPr>
          <w:rFonts w:eastAsia="Times New Roman" w:cs="Times New Roman"/>
          <w:color w:val="000000"/>
          <w:szCs w:val="24"/>
          <w:lang w:eastAsia="es-CO"/>
        </w:rPr>
        <w:t xml:space="preserve"> </w:t>
      </w:r>
      <w:proofErr w:type="spellStart"/>
      <w:r w:rsidRPr="00F3021C">
        <w:rPr>
          <w:rFonts w:eastAsia="Times New Roman" w:cs="Times New Roman"/>
          <w:color w:val="000000"/>
          <w:szCs w:val="24"/>
          <w:lang w:eastAsia="es-CO"/>
        </w:rPr>
        <w:t>out</w:t>
      </w:r>
      <w:proofErr w:type="spellEnd"/>
      <w:r w:rsidRPr="00F3021C">
        <w:rPr>
          <w:rFonts w:eastAsia="Times New Roman" w:cs="Times New Roman"/>
          <w:color w:val="000000"/>
          <w:szCs w:val="24"/>
          <w:lang w:eastAsia="es-CO"/>
        </w:rPr>
        <w:t>” o síndrome de agotamiento laboral, acoso laboral, manejo en situaciones de duelo, estrés postraumático, estrés agudo y depresión, y guías por actividades económicas prioritarias, las cuales establecen estrategias de intervención de factores psicosociales para los sectores económicos de Administración Pública, Defensa, Educación, Financiero, Servicios de Salud y Servicios Sociales y Transporte.</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 </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Los protocolos buscan orientar a los empleadores, contratantes, trabajadores, instituciones de la seguridad social y prestadores de servicios en seguridad y salud en el trabajo, sobre los criterios básicos para establecer, coordinar, implementar y hacer seguimiento a las acciones y estrategias para la intervención de los factores psicosociales, así como para la promoción de la salud y la prevención de efectos adversos en los trabajadores y en las organizaciones.</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 </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La intervención sobre los aspectos psicosociales implica un abordaje interdisciplinar que integre los conocimientos de diferentes disciplinas e instancias para el diseño, orientación y desarrollo de las actividades de prevención y control, así como para su acompañamiento y evaluación.</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color w:val="000000"/>
          <w:szCs w:val="24"/>
          <w:lang w:eastAsia="es-CO"/>
        </w:rPr>
        <w:t> </w:t>
      </w:r>
    </w:p>
    <w:p w:rsidR="00F3021C" w:rsidRPr="00F3021C" w:rsidRDefault="00F3021C" w:rsidP="00F3021C">
      <w:pPr>
        <w:spacing w:line="240" w:lineRule="auto"/>
        <w:rPr>
          <w:rFonts w:eastAsia="Times New Roman" w:cs="Times New Roman"/>
          <w:color w:val="000000"/>
          <w:szCs w:val="24"/>
          <w:lang w:eastAsia="es-CO"/>
        </w:rPr>
      </w:pPr>
      <w:r w:rsidRPr="00F3021C">
        <w:rPr>
          <w:rFonts w:eastAsia="Times New Roman" w:cs="Times New Roman"/>
          <w:b/>
          <w:bCs/>
          <w:color w:val="000000"/>
          <w:szCs w:val="24"/>
          <w:lang w:eastAsia="es-CO"/>
        </w:rPr>
        <w:lastRenderedPageBreak/>
        <w:t>Parágrafo.</w:t>
      </w:r>
      <w:r w:rsidRPr="00F3021C">
        <w:rPr>
          <w:rFonts w:eastAsia="Times New Roman" w:cs="Times New Roman"/>
          <w:color w:val="000000"/>
          <w:szCs w:val="24"/>
          <w:lang w:eastAsia="es-CO"/>
        </w:rPr>
        <w:t> El alcance de la Guía Técnica y los protocolos es proveer recomendaciones para el desarrollo de acciones y estrategias para la intervención de los factores psicosociales, siendo un referente mínimo para los empleadores o contratantes. Los empleadores y contratantes podrán desarrollar acciones y estrategias adicionales para la intervención tanto de los factores de riesgo como de los efectos, incluyendo medidas de intervención tanto en la fuente como en los trabajadores.</w:t>
      </w:r>
    </w:p>
    <w:p w:rsidR="00F3021C" w:rsidRPr="00F3021C" w:rsidRDefault="00F3021C" w:rsidP="00F3021C">
      <w:pPr>
        <w:pStyle w:val="pa8"/>
        <w:spacing w:before="0" w:beforeAutospacing="0" w:after="0" w:afterAutospacing="0"/>
        <w:jc w:val="both"/>
        <w:rPr>
          <w:b/>
          <w:bCs/>
          <w:color w:val="000000"/>
          <w:shd w:val="clear" w:color="auto" w:fill="FFFFFF"/>
        </w:rPr>
      </w:pPr>
    </w:p>
    <w:p w:rsidR="00F3021C" w:rsidRPr="00F3021C" w:rsidRDefault="00F3021C" w:rsidP="00F3021C">
      <w:pPr>
        <w:pStyle w:val="pa8"/>
        <w:spacing w:before="0" w:beforeAutospacing="0" w:after="0" w:afterAutospacing="0"/>
        <w:jc w:val="both"/>
        <w:rPr>
          <w:b/>
          <w:bCs/>
          <w:color w:val="000000"/>
        </w:rPr>
      </w:pPr>
      <w:r w:rsidRPr="00F3021C">
        <w:rPr>
          <w:b/>
          <w:bCs/>
          <w:color w:val="000000"/>
          <w:shd w:val="clear" w:color="auto" w:fill="FFFFFF"/>
        </w:rPr>
        <w:t>Artículo 7°.</w:t>
      </w:r>
      <w:r w:rsidRPr="00F3021C">
        <w:rPr>
          <w:color w:val="000000"/>
          <w:shd w:val="clear" w:color="auto" w:fill="FFFFFF"/>
        </w:rPr>
        <w:t> </w:t>
      </w:r>
      <w:r w:rsidRPr="00F3021C">
        <w:rPr>
          <w:i/>
          <w:iCs/>
          <w:color w:val="000000"/>
          <w:shd w:val="clear" w:color="auto" w:fill="FFFFFF"/>
        </w:rPr>
        <w:t>Sanciones. </w:t>
      </w:r>
      <w:r w:rsidRPr="00F3021C">
        <w:rPr>
          <w:color w:val="000000"/>
          <w:shd w:val="clear" w:color="auto" w:fill="FFFFFF"/>
        </w:rPr>
        <w:t>El incumplimiento a lo establecido en la presente resolución será sancionado de conformidad con lo dispuesto en el artículo 91 del Decreto 1295 de 1994, modificado parcialmente por el artículo 115 del Decreto 2150 de 1995 y el artículo 13 de la Ley 1562 de 2012, en armonía con el Capítulo 11 del Título 4 de la Parte 2 del Libro 2 del Decreto 1072 de 2015. La investigación administrativa y la sanción serán de competencia de las Direcciones Territoriales del Ministerio del Trabajo en los términos del mencionado artículo 91 del Decreto 1295 de 1994, sin perjuicio del poder preferente de que trata el artículo 32 de la Ley 1562 de 2012.</w:t>
      </w:r>
    </w:p>
    <w:p w:rsidR="00F3021C" w:rsidRPr="00F3021C" w:rsidRDefault="00F3021C" w:rsidP="00F3021C">
      <w:pPr>
        <w:pStyle w:val="pa8"/>
        <w:spacing w:before="0" w:beforeAutospacing="0" w:after="0" w:afterAutospacing="0"/>
        <w:jc w:val="both"/>
        <w:rPr>
          <w:b/>
          <w:bCs/>
          <w:color w:val="000000"/>
        </w:rPr>
      </w:pPr>
    </w:p>
    <w:p w:rsidR="00F3021C" w:rsidRPr="00F3021C" w:rsidRDefault="00F3021C" w:rsidP="00F3021C">
      <w:pPr>
        <w:pStyle w:val="pa8"/>
        <w:spacing w:before="0" w:beforeAutospacing="0" w:after="0" w:afterAutospacing="0"/>
        <w:jc w:val="both"/>
        <w:rPr>
          <w:color w:val="000000"/>
        </w:rPr>
      </w:pPr>
      <w:r w:rsidRPr="00F3021C">
        <w:rPr>
          <w:b/>
          <w:bCs/>
          <w:color w:val="000000"/>
        </w:rPr>
        <w:t>Artículo 8°.</w:t>
      </w:r>
      <w:r w:rsidRPr="00F3021C">
        <w:rPr>
          <w:color w:val="000000"/>
        </w:rPr>
        <w:t> </w:t>
      </w:r>
      <w:r w:rsidRPr="00F3021C">
        <w:rPr>
          <w:i/>
          <w:iCs/>
          <w:color w:val="000000"/>
        </w:rPr>
        <w:t>Vigencia</w:t>
      </w:r>
      <w:r w:rsidRPr="00F3021C">
        <w:rPr>
          <w:color w:val="000000"/>
        </w:rPr>
        <w:t>. La presente resolución rige a partir de la fecha de su publicación.</w:t>
      </w:r>
    </w:p>
    <w:p w:rsidR="00F3021C" w:rsidRPr="00F3021C" w:rsidRDefault="00F3021C" w:rsidP="00F3021C">
      <w:pPr>
        <w:pStyle w:val="pa8"/>
        <w:spacing w:before="0" w:beforeAutospacing="0" w:after="0" w:afterAutospacing="0"/>
        <w:jc w:val="both"/>
        <w:rPr>
          <w:color w:val="000000"/>
        </w:rPr>
      </w:pPr>
      <w:r w:rsidRPr="00F3021C">
        <w:rPr>
          <w:color w:val="000000"/>
        </w:rPr>
        <w:t> </w:t>
      </w:r>
    </w:p>
    <w:p w:rsidR="00F3021C" w:rsidRPr="00F3021C" w:rsidRDefault="00F3021C" w:rsidP="00F3021C">
      <w:pPr>
        <w:pStyle w:val="pa8"/>
        <w:spacing w:before="0" w:beforeAutospacing="0" w:after="0" w:afterAutospacing="0"/>
        <w:jc w:val="both"/>
        <w:rPr>
          <w:color w:val="000000"/>
        </w:rPr>
      </w:pPr>
      <w:r w:rsidRPr="00F3021C">
        <w:rPr>
          <w:b/>
          <w:bCs/>
          <w:color w:val="000000"/>
        </w:rPr>
        <w:t>Publíquese y cúmplase.</w:t>
      </w:r>
    </w:p>
    <w:p w:rsidR="00F3021C" w:rsidRPr="00F3021C" w:rsidRDefault="00F3021C" w:rsidP="00F3021C">
      <w:pPr>
        <w:pStyle w:val="pa8"/>
        <w:spacing w:before="0" w:beforeAutospacing="0" w:after="0" w:afterAutospacing="0"/>
        <w:jc w:val="both"/>
        <w:rPr>
          <w:color w:val="000000"/>
        </w:rPr>
      </w:pPr>
      <w:r w:rsidRPr="00F3021C">
        <w:rPr>
          <w:color w:val="000000"/>
        </w:rPr>
        <w:t>Dada en Bogotá, D. C., a 22 de julio de 2019.</w:t>
      </w:r>
    </w:p>
    <w:p w:rsidR="00F3021C" w:rsidRPr="00F3021C" w:rsidRDefault="00F3021C" w:rsidP="00F3021C">
      <w:pPr>
        <w:pStyle w:val="pa8"/>
        <w:spacing w:before="0" w:beforeAutospacing="0" w:after="0" w:afterAutospacing="0"/>
        <w:jc w:val="both"/>
        <w:rPr>
          <w:color w:val="000000"/>
        </w:rPr>
      </w:pPr>
      <w:r w:rsidRPr="00F3021C">
        <w:rPr>
          <w:color w:val="000000"/>
        </w:rPr>
        <w:t> </w:t>
      </w:r>
    </w:p>
    <w:p w:rsidR="00F3021C" w:rsidRPr="00F3021C" w:rsidRDefault="00F3021C" w:rsidP="00F3021C">
      <w:pPr>
        <w:pStyle w:val="pa8"/>
        <w:spacing w:before="0" w:beforeAutospacing="0" w:after="0" w:afterAutospacing="0"/>
        <w:jc w:val="both"/>
        <w:rPr>
          <w:color w:val="000000"/>
        </w:rPr>
      </w:pPr>
      <w:r w:rsidRPr="00F3021C">
        <w:rPr>
          <w:color w:val="000000"/>
        </w:rPr>
        <w:t> </w:t>
      </w:r>
    </w:p>
    <w:p w:rsidR="00F3021C" w:rsidRPr="00F3021C" w:rsidRDefault="00F3021C" w:rsidP="00F3021C">
      <w:pPr>
        <w:pStyle w:val="pa8"/>
        <w:spacing w:before="0" w:beforeAutospacing="0" w:after="0" w:afterAutospacing="0"/>
        <w:jc w:val="both"/>
        <w:rPr>
          <w:color w:val="000000"/>
        </w:rPr>
      </w:pPr>
      <w:r w:rsidRPr="00F3021C">
        <w:rPr>
          <w:b/>
          <w:bCs/>
          <w:color w:val="000000"/>
        </w:rPr>
        <w:t>La Ministra del Trabajo,</w:t>
      </w:r>
    </w:p>
    <w:p w:rsidR="00F3021C" w:rsidRPr="00F3021C" w:rsidRDefault="00F3021C">
      <w:pPr>
        <w:rPr>
          <w:rFonts w:cs="Times New Roman"/>
          <w:i/>
          <w:iCs/>
          <w:color w:val="000000"/>
          <w:szCs w:val="24"/>
          <w:shd w:val="clear" w:color="auto" w:fill="FFFFFF"/>
        </w:rPr>
      </w:pPr>
    </w:p>
    <w:p w:rsidR="00F3021C" w:rsidRPr="00F3021C" w:rsidRDefault="00F3021C">
      <w:pPr>
        <w:rPr>
          <w:rFonts w:cs="Times New Roman"/>
          <w:b/>
          <w:bCs/>
          <w:color w:val="000000"/>
          <w:szCs w:val="24"/>
          <w:shd w:val="clear" w:color="auto" w:fill="FFFFFF"/>
        </w:rPr>
      </w:pPr>
      <w:r w:rsidRPr="00F3021C">
        <w:rPr>
          <w:rFonts w:cs="Times New Roman"/>
          <w:i/>
          <w:iCs/>
          <w:color w:val="000000"/>
          <w:szCs w:val="24"/>
          <w:shd w:val="clear" w:color="auto" w:fill="FFFFFF"/>
        </w:rPr>
        <w:t>Alicia Victoria Arango Olmos</w:t>
      </w:r>
    </w:p>
    <w:p w:rsidR="00730617" w:rsidRPr="00F3021C" w:rsidRDefault="00F3021C">
      <w:pPr>
        <w:rPr>
          <w:rFonts w:cs="Times New Roman"/>
          <w:b/>
          <w:bCs/>
          <w:color w:val="000000"/>
          <w:szCs w:val="24"/>
          <w:shd w:val="clear" w:color="auto" w:fill="FFFFFF"/>
        </w:rPr>
      </w:pPr>
      <w:r w:rsidRPr="00F3021C">
        <w:rPr>
          <w:rFonts w:cs="Times New Roman"/>
          <w:b/>
          <w:bCs/>
          <w:color w:val="000000"/>
          <w:szCs w:val="24"/>
          <w:shd w:val="clear" w:color="auto" w:fill="FFFFFF"/>
        </w:rPr>
        <w:t>Publicada en D.O. 51.023 del 23 de julio de 2019.</w:t>
      </w:r>
    </w:p>
    <w:p w:rsidR="00F3021C" w:rsidRPr="00F3021C" w:rsidRDefault="00F3021C">
      <w:pPr>
        <w:rPr>
          <w:rFonts w:cs="Times New Roman"/>
          <w:szCs w:val="24"/>
        </w:rPr>
      </w:pPr>
      <w:r w:rsidRPr="00F3021C">
        <w:rPr>
          <w:rFonts w:cs="Times New Roman"/>
          <w:b/>
          <w:bCs/>
          <w:color w:val="000000"/>
          <w:szCs w:val="24"/>
          <w:shd w:val="clear" w:color="auto" w:fill="FFFFFF"/>
        </w:rPr>
        <w:t>_________________________________________________________________________________________________________</w:t>
      </w:r>
    </w:p>
    <w:sectPr w:rsidR="00F3021C" w:rsidRPr="00F3021C"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21C"/>
    <w:rsid w:val="00730617"/>
    <w:rsid w:val="00A45230"/>
    <w:rsid w:val="00F302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8B0B5"/>
  <w15:chartTrackingRefBased/>
  <w15:docId w15:val="{63F01550-67C7-46F4-B4CD-F6950051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8">
    <w:name w:val="pa8"/>
    <w:basedOn w:val="Normal"/>
    <w:rsid w:val="00F3021C"/>
    <w:pPr>
      <w:spacing w:before="100" w:beforeAutospacing="1" w:after="100" w:afterAutospacing="1" w:line="240" w:lineRule="auto"/>
      <w:jc w:val="left"/>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5361">
      <w:bodyDiv w:val="1"/>
      <w:marLeft w:val="0"/>
      <w:marRight w:val="0"/>
      <w:marTop w:val="0"/>
      <w:marBottom w:val="0"/>
      <w:divBdr>
        <w:top w:val="none" w:sz="0" w:space="0" w:color="auto"/>
        <w:left w:val="none" w:sz="0" w:space="0" w:color="auto"/>
        <w:bottom w:val="none" w:sz="0" w:space="0" w:color="auto"/>
        <w:right w:val="none" w:sz="0" w:space="0" w:color="auto"/>
      </w:divBdr>
    </w:div>
    <w:div w:id="273484089">
      <w:bodyDiv w:val="1"/>
      <w:marLeft w:val="0"/>
      <w:marRight w:val="0"/>
      <w:marTop w:val="0"/>
      <w:marBottom w:val="0"/>
      <w:divBdr>
        <w:top w:val="none" w:sz="0" w:space="0" w:color="auto"/>
        <w:left w:val="none" w:sz="0" w:space="0" w:color="auto"/>
        <w:bottom w:val="none" w:sz="0" w:space="0" w:color="auto"/>
        <w:right w:val="none" w:sz="0" w:space="0" w:color="auto"/>
      </w:divBdr>
    </w:div>
    <w:div w:id="212411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ondoriesgoslaborales.gov.co/" TargetMode="External"/><Relationship Id="rId4" Type="http://schemas.openxmlformats.org/officeDocument/2006/relationships/hyperlink" Target="http://www.fondoriesgoslaborales.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3041</Words>
  <Characters>16726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2019-07-27T21:36:00Z</dcterms:created>
  <dcterms:modified xsi:type="dcterms:W3CDTF">2019-07-27T21:42:00Z</dcterms:modified>
</cp:coreProperties>
</file>