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A6C90" w14:textId="77777777" w:rsidR="00DD286B" w:rsidRDefault="00DD286B" w:rsidP="00DD286B">
      <w:pPr>
        <w:shd w:val="clear" w:color="auto" w:fill="FFFFFF"/>
        <w:spacing w:after="0" w:line="360" w:lineRule="auto"/>
        <w:jc w:val="both"/>
        <w:rPr>
          <w:rFonts w:ascii="Times New Roman" w:eastAsia="Times New Roman" w:hAnsi="Times New Roman" w:cs="Times New Roman"/>
          <w:b/>
          <w:bCs/>
          <w:color w:val="333333"/>
          <w:kern w:val="0"/>
          <w:lang w:eastAsia="es-CO"/>
          <w14:ligatures w14:val="none"/>
        </w:rPr>
      </w:pPr>
    </w:p>
    <w:p w14:paraId="0352EF77" w14:textId="06CA2876" w:rsidR="00DD286B" w:rsidRDefault="00DD286B" w:rsidP="00DD286B">
      <w:pPr>
        <w:shd w:val="clear" w:color="auto" w:fill="FFFFFF"/>
        <w:spacing w:after="0" w:line="360" w:lineRule="auto"/>
        <w:jc w:val="both"/>
        <w:rPr>
          <w:rFonts w:ascii="Times New Roman" w:eastAsia="Times New Roman" w:hAnsi="Times New Roman" w:cs="Times New Roman"/>
          <w:b/>
          <w:bCs/>
          <w:color w:val="333333"/>
          <w:kern w:val="0"/>
          <w:lang w:eastAsia="es-CO"/>
          <w14:ligatures w14:val="none"/>
        </w:rPr>
      </w:pPr>
      <w:r>
        <w:rPr>
          <w:rFonts w:ascii="Times New Roman" w:eastAsia="Times New Roman" w:hAnsi="Times New Roman" w:cs="Times New Roman"/>
          <w:b/>
          <w:bCs/>
          <w:color w:val="333333"/>
          <w:kern w:val="0"/>
          <w:lang w:eastAsia="es-CO"/>
          <w14:ligatures w14:val="none"/>
        </w:rPr>
        <w:t xml:space="preserve">DURT. </w:t>
      </w:r>
    </w:p>
    <w:p w14:paraId="757F8C12" w14:textId="1DE7EFDF" w:rsidR="00DD286B" w:rsidRDefault="00DD286B" w:rsidP="00DD286B">
      <w:pPr>
        <w:shd w:val="clear" w:color="auto" w:fill="FFFFFF"/>
        <w:spacing w:after="0" w:line="360" w:lineRule="auto"/>
        <w:jc w:val="both"/>
        <w:rPr>
          <w:rFonts w:ascii="Times New Roman" w:eastAsia="Times New Roman" w:hAnsi="Times New Roman" w:cs="Times New Roman"/>
          <w:b/>
          <w:bCs/>
          <w:color w:val="333333"/>
          <w:kern w:val="0"/>
          <w:lang w:eastAsia="es-CO"/>
          <w14:ligatures w14:val="none"/>
        </w:rPr>
      </w:pPr>
      <w:r>
        <w:rPr>
          <w:rFonts w:ascii="Times New Roman" w:eastAsia="Times New Roman" w:hAnsi="Times New Roman" w:cs="Times New Roman"/>
          <w:b/>
          <w:bCs/>
          <w:color w:val="333333"/>
          <w:kern w:val="0"/>
          <w:lang w:eastAsia="es-CO"/>
          <w14:ligatures w14:val="none"/>
        </w:rPr>
        <w:t>DOCUMENTO SOPORTE EN ADQUISICIONES EFECTUADAS A SUJETOS NO OBLIGADOS A EXPEDIR FACTURA DE VENTA O DOCUMENTO EQUIVALENTE.</w:t>
      </w:r>
    </w:p>
    <w:p w14:paraId="5D6BD3DB" w14:textId="77777777" w:rsidR="00DD286B" w:rsidRDefault="00DD286B" w:rsidP="00DD286B">
      <w:pPr>
        <w:shd w:val="clear" w:color="auto" w:fill="FFFFFF"/>
        <w:spacing w:after="0" w:line="360" w:lineRule="auto"/>
        <w:jc w:val="both"/>
        <w:rPr>
          <w:rFonts w:ascii="Times New Roman" w:eastAsia="Times New Roman" w:hAnsi="Times New Roman" w:cs="Times New Roman"/>
          <w:b/>
          <w:bCs/>
          <w:color w:val="333333"/>
          <w:kern w:val="0"/>
          <w:lang w:eastAsia="es-CO"/>
          <w14:ligatures w14:val="none"/>
        </w:rPr>
      </w:pPr>
    </w:p>
    <w:p w14:paraId="263F654D" w14:textId="50BFBCC5" w:rsidR="00DD286B" w:rsidRDefault="00DD286B" w:rsidP="00DD286B">
      <w:pPr>
        <w:shd w:val="clear" w:color="auto" w:fill="FFFFFF"/>
        <w:spacing w:after="0" w:line="360" w:lineRule="auto"/>
        <w:jc w:val="both"/>
        <w:rPr>
          <w:rFonts w:ascii="Times New Roman" w:eastAsia="Times New Roman" w:hAnsi="Times New Roman" w:cs="Times New Roman"/>
          <w:b/>
          <w:bCs/>
          <w:color w:val="333333"/>
          <w:kern w:val="0"/>
          <w:lang w:eastAsia="es-CO"/>
          <w14:ligatures w14:val="none"/>
        </w:rPr>
      </w:pPr>
      <w:r>
        <w:rPr>
          <w:rFonts w:ascii="Times New Roman" w:eastAsia="Times New Roman" w:hAnsi="Times New Roman" w:cs="Times New Roman"/>
          <w:b/>
          <w:bCs/>
          <w:color w:val="333333"/>
          <w:kern w:val="0"/>
          <w:lang w:eastAsia="es-CO"/>
          <w14:ligatures w14:val="none"/>
        </w:rPr>
        <w:t xml:space="preserve">Nota: En la Resolución 000167 de diciembre 30 de 2021 se obliga a enviar el documento soporte en forma electrónica por parte de quienes están obligados a facturar en forma electrónica y los que no están obligados a facturar lo deben elaborar en forma física con numeración autorizada por la Dian. </w:t>
      </w:r>
    </w:p>
    <w:p w14:paraId="24FA40B0" w14:textId="77777777" w:rsidR="00DD286B" w:rsidRDefault="00DD286B" w:rsidP="00DD286B">
      <w:pPr>
        <w:shd w:val="clear" w:color="auto" w:fill="FFFFFF"/>
        <w:spacing w:after="0" w:line="360" w:lineRule="auto"/>
        <w:jc w:val="both"/>
        <w:rPr>
          <w:rFonts w:ascii="Times New Roman" w:eastAsia="Times New Roman" w:hAnsi="Times New Roman" w:cs="Times New Roman"/>
          <w:b/>
          <w:bCs/>
          <w:color w:val="333333"/>
          <w:kern w:val="0"/>
          <w:lang w:eastAsia="es-CO"/>
          <w14:ligatures w14:val="none"/>
        </w:rPr>
      </w:pPr>
    </w:p>
    <w:p w14:paraId="5CABF67A" w14:textId="1FB95B8F"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b/>
          <w:bCs/>
          <w:color w:val="333333"/>
          <w:kern w:val="0"/>
          <w:lang w:eastAsia="es-CO"/>
          <w14:ligatures w14:val="none"/>
        </w:rPr>
        <w:t>ARTÍCULO</w:t>
      </w:r>
      <w:bookmarkStart w:id="0" w:name="1.6.1.4.12"/>
      <w:bookmarkEnd w:id="0"/>
      <w:r w:rsidRPr="000A72E2">
        <w:rPr>
          <w:rFonts w:ascii="Times New Roman" w:eastAsia="Times New Roman" w:hAnsi="Times New Roman" w:cs="Times New Roman"/>
          <w:b/>
          <w:bCs/>
          <w:color w:val="333333"/>
          <w:kern w:val="0"/>
          <w:lang w:eastAsia="es-CO"/>
          <w14:ligatures w14:val="none"/>
        </w:rPr>
        <w:t> 1.6.1.4.12. Documento soporte en adquisiciones efectuadas a sujetos no obligados a expedir factura de venta o documento equivalente.</w:t>
      </w:r>
      <w:r w:rsidRPr="000A72E2">
        <w:rPr>
          <w:rFonts w:ascii="Times New Roman" w:eastAsia="Times New Roman" w:hAnsi="Times New Roman" w:cs="Times New Roman"/>
          <w:color w:val="333333"/>
          <w:kern w:val="0"/>
          <w:lang w:eastAsia="es-CO"/>
          <w14:ligatures w14:val="none"/>
        </w:rPr>
        <w:t> De conformidad con lo establecido en el artículo </w:t>
      </w:r>
      <w:hyperlink r:id="rId4" w:anchor="771-2" w:history="1">
        <w:r w:rsidRPr="000A72E2">
          <w:rPr>
            <w:rFonts w:ascii="Times New Roman" w:eastAsia="Times New Roman" w:hAnsi="Times New Roman" w:cs="Times New Roman"/>
            <w:color w:val="007BFF"/>
            <w:kern w:val="0"/>
            <w:lang w:eastAsia="es-CO"/>
            <w14:ligatures w14:val="none"/>
          </w:rPr>
          <w:t>771-2</w:t>
        </w:r>
      </w:hyperlink>
      <w:r w:rsidRPr="000A72E2">
        <w:rPr>
          <w:rFonts w:ascii="Times New Roman" w:eastAsia="Times New Roman" w:hAnsi="Times New Roman" w:cs="Times New Roman"/>
          <w:color w:val="333333"/>
          <w:kern w:val="0"/>
          <w:lang w:eastAsia="es-CO"/>
          <w14:ligatures w14:val="none"/>
        </w:rPr>
        <w:t> del Estatuto Tributario, cuando se realicen transacciones con sujetos no obligados a expedir factura de venta y/o documento equivalente, el documento soporte que pruebe la respectiva transacción que da lugar a costos, deducciones, o impuestos descontables, deberá cumplir los siguientes requisitos y condiciones, y ser generado de forma física por parte del adquiriente del bien y/o servicio, salvo cuando se trate de importación de bienes:</w:t>
      </w:r>
    </w:p>
    <w:p w14:paraId="4C1B88B3"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bookmarkStart w:id="1" w:name="1.6.1.4.12.1"/>
      <w:bookmarkEnd w:id="1"/>
      <w:r w:rsidRPr="000A72E2">
        <w:rPr>
          <w:rFonts w:ascii="Times New Roman" w:eastAsia="Times New Roman" w:hAnsi="Times New Roman" w:cs="Times New Roman"/>
          <w:color w:val="333333"/>
          <w:kern w:val="0"/>
          <w:lang w:eastAsia="es-CO"/>
          <w14:ligatures w14:val="none"/>
        </w:rPr>
        <w:t>1. Estar denominado expresamente como documento soporte en adquisiciones efectuadas a no obligados a facturar.</w:t>
      </w:r>
    </w:p>
    <w:p w14:paraId="575827D2"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2. Tener la fecha de operación y la fecha de generación del documento.</w:t>
      </w:r>
    </w:p>
    <w:p w14:paraId="6BFC9999"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*jurisprudencia*</w:t>
      </w:r>
    </w:p>
    <w:p w14:paraId="549D7B84"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(Modificado por el Art. </w:t>
      </w:r>
      <w:hyperlink r:id="rId5" w:anchor="7" w:tooltip="vinculo" w:history="1">
        <w:r w:rsidRPr="000A72E2">
          <w:rPr>
            <w:rFonts w:ascii="Times New Roman" w:eastAsia="Times New Roman" w:hAnsi="Times New Roman" w:cs="Times New Roman"/>
            <w:color w:val="007BFF"/>
            <w:kern w:val="0"/>
            <w:lang w:eastAsia="es-CO"/>
            <w14:ligatures w14:val="none"/>
          </w:rPr>
          <w:t>7</w:t>
        </w:r>
      </w:hyperlink>
      <w:r w:rsidRPr="000A72E2">
        <w:rPr>
          <w:rFonts w:ascii="Times New Roman" w:eastAsia="Times New Roman" w:hAnsi="Times New Roman" w:cs="Times New Roman"/>
          <w:color w:val="333333"/>
          <w:kern w:val="0"/>
          <w:lang w:eastAsia="es-CO"/>
          <w14:ligatures w14:val="none"/>
        </w:rPr>
        <w:t> de Decreto 442 de 2023)</w:t>
      </w:r>
    </w:p>
    <w:p w14:paraId="38985763"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bookmarkStart w:id="2" w:name="1.6.1.4.12.3"/>
      <w:bookmarkEnd w:id="2"/>
      <w:r w:rsidRPr="000A72E2">
        <w:rPr>
          <w:rFonts w:ascii="Times New Roman" w:eastAsia="Times New Roman" w:hAnsi="Times New Roman" w:cs="Times New Roman"/>
          <w:color w:val="333333"/>
          <w:kern w:val="0"/>
          <w:lang w:eastAsia="es-CO"/>
          <w14:ligatures w14:val="none"/>
        </w:rPr>
        <w:t>3. Contener los apellidos y nombre o razón social y Número de Identificación Tributaria -NIT del vendedor o de quien presta el servicio. Tratándose de contratos suscritos con los no residentes fiscales en Colombia no inscritos en el Registro Único Tributario RUT, el requisito del Número de Identificación Tributaria NIT, se entenderá cumplido con la identificación otorgada en el país de origen del no residente.</w:t>
      </w:r>
    </w:p>
    <w:p w14:paraId="475D420A"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bookmarkStart w:id="3" w:name="1.6.1.4.12.4"/>
      <w:bookmarkEnd w:id="3"/>
      <w:r w:rsidRPr="000A72E2">
        <w:rPr>
          <w:rFonts w:ascii="Times New Roman" w:eastAsia="Times New Roman" w:hAnsi="Times New Roman" w:cs="Times New Roman"/>
          <w:color w:val="333333"/>
          <w:kern w:val="0"/>
          <w:lang w:eastAsia="es-CO"/>
          <w14:ligatures w14:val="none"/>
        </w:rPr>
        <w:t>4. Contener los apellidos y nombre o razón social y Número de Identificación Tributaria -NIT del adquiriente de los bienes y/o servicios.</w:t>
      </w:r>
    </w:p>
    <w:p w14:paraId="5FBB41A3"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bookmarkStart w:id="4" w:name="1.6.1.4.12.5"/>
      <w:bookmarkEnd w:id="4"/>
      <w:r w:rsidRPr="000A72E2">
        <w:rPr>
          <w:rFonts w:ascii="Times New Roman" w:eastAsia="Times New Roman" w:hAnsi="Times New Roman" w:cs="Times New Roman"/>
          <w:color w:val="333333"/>
          <w:kern w:val="0"/>
          <w:lang w:eastAsia="es-CO"/>
          <w14:ligatures w14:val="none"/>
        </w:rPr>
        <w:lastRenderedPageBreak/>
        <w:t>5. Llevar el número que corresponda a un sistema de numeración consecutiva de documento soporte incluyendo el número, rango y vigencia autorizado por la Unidad Administrativa Especial Dirección de Impuestos y Aduanas Nacionales - DIAN. En relación con las especificaciones de la numeración del documento soporte, en adquisiciones efectuadas a no obligados a facturar, el adquiriente podrá indicar una numeración propia, hasta tanto la Unidad Administrativa Especial Dirección de Impuestos y Aduanas Nacionales -DIAN, ponga a disposición las citadas especificaciones a través del servicio informático electrónico.</w:t>
      </w:r>
    </w:p>
    <w:p w14:paraId="2DD1F969"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bookmarkStart w:id="5" w:name="1.6.1.4.12.6"/>
      <w:bookmarkEnd w:id="5"/>
      <w:r w:rsidRPr="000A72E2">
        <w:rPr>
          <w:rFonts w:ascii="Times New Roman" w:eastAsia="Times New Roman" w:hAnsi="Times New Roman" w:cs="Times New Roman"/>
          <w:color w:val="333333"/>
          <w:kern w:val="0"/>
          <w:lang w:eastAsia="es-CO"/>
          <w14:ligatures w14:val="none"/>
        </w:rPr>
        <w:t>6. Tener la descripción específica del bien y/o del servicio prestado.</w:t>
      </w:r>
    </w:p>
    <w:p w14:paraId="6B59F9E6"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bookmarkStart w:id="6" w:name="1.6.1.4.12.7"/>
      <w:bookmarkEnd w:id="6"/>
      <w:r w:rsidRPr="000A72E2">
        <w:rPr>
          <w:rFonts w:ascii="Times New Roman" w:eastAsia="Times New Roman" w:hAnsi="Times New Roman" w:cs="Times New Roman"/>
          <w:color w:val="333333"/>
          <w:kern w:val="0"/>
          <w:lang w:eastAsia="es-CO"/>
          <w14:ligatures w14:val="none"/>
        </w:rPr>
        <w:t>7. Detallar el valor total de la operación, discriminando el valor del impuesto sobre las ventas -IVA, cuando a ello hubiere lugar."</w:t>
      </w:r>
    </w:p>
    <w:p w14:paraId="75D4D4B4"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(Numeral 7, modificado por el Art. </w:t>
      </w:r>
      <w:hyperlink r:id="rId6" w:anchor="2" w:history="1">
        <w:r w:rsidRPr="000A72E2">
          <w:rPr>
            <w:rFonts w:ascii="Times New Roman" w:eastAsia="Times New Roman" w:hAnsi="Times New Roman" w:cs="Times New Roman"/>
            <w:color w:val="007BFF"/>
            <w:kern w:val="0"/>
            <w:lang w:eastAsia="es-CO"/>
            <w14:ligatures w14:val="none"/>
          </w:rPr>
          <w:t>2</w:t>
        </w:r>
      </w:hyperlink>
      <w:r w:rsidRPr="000A72E2">
        <w:rPr>
          <w:rFonts w:ascii="Times New Roman" w:eastAsia="Times New Roman" w:hAnsi="Times New Roman" w:cs="Times New Roman"/>
          <w:color w:val="333333"/>
          <w:kern w:val="0"/>
          <w:lang w:eastAsia="es-CO"/>
          <w14:ligatures w14:val="none"/>
        </w:rPr>
        <w:t> del Decreto 723 de 2021)</w:t>
      </w:r>
    </w:p>
    <w:p w14:paraId="00F0E9D1"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Cuando el adquiriente sea facturador electrónico el documento de que trata el presente artículo deberá generarse en forma electrónica atendiendo las condiciones, términos, mecanismos técnicos y tecnológicos que para el efecto establezca la Unidad Administrativa Especial Dirección de Impuestos y Aduanas Nacionales - DIAN, cumpliendo además de los requisitos señalados en los numerales 1 a 7 del presente artículo los siguientes:</w:t>
      </w:r>
    </w:p>
    <w:p w14:paraId="3546A41C"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Incluir la firma del emisor del documento soporte al momento de la generación, de acuerdo con las normas vigentes y con la política de firma que establezca la Unidad Administrativa Especial Dirección de Impuestos y Aduanas Nacionales - DIAN.</w:t>
      </w:r>
    </w:p>
    <w:p w14:paraId="72128DF4"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Utilizar el formato electrónico de generación que establezca la Unidad Administrativa Especial Dirección de Impuestos y Aduanas Nacionales -DIAN.</w:t>
      </w:r>
    </w:p>
    <w:p w14:paraId="4CDCAF6E" w14:textId="77777777" w:rsidR="00DD286B" w:rsidRPr="00AE15F0" w:rsidRDefault="00DD286B" w:rsidP="00DD286B">
      <w:pPr>
        <w:shd w:val="clear" w:color="auto" w:fill="FFFFFF"/>
        <w:spacing w:after="0" w:line="360" w:lineRule="auto"/>
        <w:jc w:val="both"/>
        <w:rPr>
          <w:rFonts w:ascii="Times New Roman" w:eastAsia="Times New Roman" w:hAnsi="Times New Roman" w:cs="Times New Roman"/>
          <w:color w:val="333333"/>
          <w:kern w:val="0"/>
          <w:highlight w:val="yellow"/>
          <w:lang w:eastAsia="es-CO"/>
          <w14:ligatures w14:val="none"/>
        </w:rPr>
      </w:pPr>
      <w:r w:rsidRPr="00AE15F0">
        <w:rPr>
          <w:rFonts w:ascii="Times New Roman" w:eastAsia="Times New Roman" w:hAnsi="Times New Roman" w:cs="Times New Roman"/>
          <w:b/>
          <w:bCs/>
          <w:color w:val="333333"/>
          <w:kern w:val="0"/>
          <w:highlight w:val="yellow"/>
          <w:lang w:eastAsia="es-CO"/>
          <w14:ligatures w14:val="none"/>
        </w:rPr>
        <w:t>PARÁGRAFO</w:t>
      </w:r>
      <w:bookmarkStart w:id="7" w:name="1.6.1.4.12.pt1"/>
      <w:bookmarkEnd w:id="7"/>
      <w:r w:rsidRPr="00AE15F0">
        <w:rPr>
          <w:rFonts w:ascii="Times New Roman" w:eastAsia="Times New Roman" w:hAnsi="Times New Roman" w:cs="Times New Roman"/>
          <w:b/>
          <w:bCs/>
          <w:color w:val="333333"/>
          <w:kern w:val="0"/>
          <w:highlight w:val="yellow"/>
          <w:lang w:eastAsia="es-CO"/>
          <w14:ligatures w14:val="none"/>
        </w:rPr>
        <w:t> 1.</w:t>
      </w:r>
      <w:r w:rsidRPr="00AE15F0">
        <w:rPr>
          <w:rFonts w:ascii="Times New Roman" w:eastAsia="Times New Roman" w:hAnsi="Times New Roman" w:cs="Times New Roman"/>
          <w:color w:val="333333"/>
          <w:kern w:val="0"/>
          <w:highlight w:val="yellow"/>
          <w:lang w:eastAsia="es-CO"/>
          <w14:ligatures w14:val="none"/>
        </w:rPr>
        <w:t> Para efectos de lo establecido en el presente artículo, será válido el extracto expedido por los sujetos a los que se refiere el numeral 1 del artículo 1.6.1.4.3. de este Decreto, en concordancia con el artículo 1.3.1.7.8. de este Decreto.</w:t>
      </w:r>
    </w:p>
    <w:p w14:paraId="4942F2D7"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AE15F0">
        <w:rPr>
          <w:rFonts w:ascii="Times New Roman" w:eastAsia="Times New Roman" w:hAnsi="Times New Roman" w:cs="Times New Roman"/>
          <w:color w:val="333333"/>
          <w:kern w:val="0"/>
          <w:highlight w:val="yellow"/>
          <w:lang w:eastAsia="es-CO"/>
          <w14:ligatures w14:val="none"/>
        </w:rPr>
        <w:t>Para los sujetos a los que se refiere el numeral 2 del artículo 1.6.1.4.3. de este Decreto será válido el extracto únicamente en relación con las operaciones financieras que realicen las cooperativas de ahorro y crédito, los organismos cooperativos de grado superior, las instituciones auxiliares del cooperativismo, las cooperativas multiactivas e integrales, los fondos de empleados, las cajas de compensación, y las entidades del Estado que realizan las citadas operaciones.</w:t>
      </w:r>
    </w:p>
    <w:p w14:paraId="286B00D1"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lastRenderedPageBreak/>
        <w:t>El documento soporte de que trata el presente artículo será válido en los contratos celebrados con personas o entidades no residentes en Colombia, en cuyo caso, se deberán cumplir los requisitos establecidos en este artículo. Para la procedencia del impuesto sobre las ventas -IVA descontable se deberá acreditar, adicionalmente, que se ha practicado la respectiva retención en la fuente a título de impuesto sobre las ventas de conformidad con el numeral </w:t>
      </w:r>
      <w:hyperlink r:id="rId7" w:anchor="437-2.3" w:history="1">
        <w:r w:rsidRPr="000A72E2">
          <w:rPr>
            <w:rFonts w:ascii="Times New Roman" w:eastAsia="Times New Roman" w:hAnsi="Times New Roman" w:cs="Times New Roman"/>
            <w:color w:val="007BFF"/>
            <w:kern w:val="0"/>
            <w:lang w:eastAsia="es-CO"/>
            <w14:ligatures w14:val="none"/>
          </w:rPr>
          <w:t>3</w:t>
        </w:r>
      </w:hyperlink>
      <w:r w:rsidRPr="000A72E2">
        <w:rPr>
          <w:rFonts w:ascii="Times New Roman" w:eastAsia="Times New Roman" w:hAnsi="Times New Roman" w:cs="Times New Roman"/>
          <w:color w:val="333333"/>
          <w:kern w:val="0"/>
          <w:lang w:eastAsia="es-CO"/>
          <w14:ligatures w14:val="none"/>
        </w:rPr>
        <w:t> del artículo 437-2 del Estatuto Tributario y/o a título de impuesto sobre la renta.</w:t>
      </w:r>
    </w:p>
    <w:p w14:paraId="2C0B1C2E"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b/>
          <w:bCs/>
          <w:color w:val="333333"/>
          <w:kern w:val="0"/>
          <w:lang w:eastAsia="es-CO"/>
          <w14:ligatures w14:val="none"/>
        </w:rPr>
        <w:t>PARÁGRAFO</w:t>
      </w:r>
      <w:bookmarkStart w:id="8" w:name="1.6.1.4.12.pt2"/>
      <w:bookmarkEnd w:id="8"/>
      <w:r w:rsidRPr="000A72E2">
        <w:rPr>
          <w:rFonts w:ascii="Times New Roman" w:eastAsia="Times New Roman" w:hAnsi="Times New Roman" w:cs="Times New Roman"/>
          <w:b/>
          <w:bCs/>
          <w:color w:val="333333"/>
          <w:kern w:val="0"/>
          <w:lang w:eastAsia="es-CO"/>
          <w14:ligatures w14:val="none"/>
        </w:rPr>
        <w:t> 2</w:t>
      </w:r>
      <w:r w:rsidRPr="000A72E2">
        <w:rPr>
          <w:rFonts w:ascii="Times New Roman" w:eastAsia="Times New Roman" w:hAnsi="Times New Roman" w:cs="Times New Roman"/>
          <w:color w:val="333333"/>
          <w:kern w:val="0"/>
          <w:lang w:eastAsia="es-CO"/>
          <w14:ligatures w14:val="none"/>
        </w:rPr>
        <w:t>. Cuando se trate de importación de bienes el documento soporte que pruebe la respectiva transacción que da lugar a costos, deducciones, o impuestos descontables, será la declaración de importación presentada de conformidad con la normatividad vigente, siempre y cuando no correspondan a operaciones celebradas con o entre usuarios de zona franca.</w:t>
      </w:r>
    </w:p>
    <w:p w14:paraId="4144EAC6"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b/>
          <w:bCs/>
          <w:color w:val="333333"/>
          <w:kern w:val="0"/>
          <w:lang w:eastAsia="es-CO"/>
          <w14:ligatures w14:val="none"/>
        </w:rPr>
        <w:t>PARÁGRAFO</w:t>
      </w:r>
      <w:bookmarkStart w:id="9" w:name="1.6.1.4.12.pt3"/>
      <w:bookmarkEnd w:id="9"/>
      <w:r w:rsidRPr="000A72E2">
        <w:rPr>
          <w:rFonts w:ascii="Times New Roman" w:eastAsia="Times New Roman" w:hAnsi="Times New Roman" w:cs="Times New Roman"/>
          <w:b/>
          <w:bCs/>
          <w:color w:val="333333"/>
          <w:kern w:val="0"/>
          <w:lang w:eastAsia="es-CO"/>
          <w14:ligatures w14:val="none"/>
        </w:rPr>
        <w:t> 3</w:t>
      </w:r>
      <w:r w:rsidRPr="000A72E2">
        <w:rPr>
          <w:rFonts w:ascii="Times New Roman" w:eastAsia="Times New Roman" w:hAnsi="Times New Roman" w:cs="Times New Roman"/>
          <w:color w:val="333333"/>
          <w:kern w:val="0"/>
          <w:lang w:eastAsia="es-CO"/>
          <w14:ligatures w14:val="none"/>
        </w:rPr>
        <w:t xml:space="preserve">. Para efectos de lo previsto en el inciso 2 de este artículo, el documento soporte en adquisiciones efectuadas a los sujetos no obligados a facturar, elaborado de manera electrónica, </w:t>
      </w:r>
      <w:proofErr w:type="gramStart"/>
      <w:r w:rsidRPr="000A72E2">
        <w:rPr>
          <w:rFonts w:ascii="Times New Roman" w:eastAsia="Times New Roman" w:hAnsi="Times New Roman" w:cs="Times New Roman"/>
          <w:color w:val="333333"/>
          <w:kern w:val="0"/>
          <w:lang w:eastAsia="es-CO"/>
          <w14:ligatures w14:val="none"/>
        </w:rPr>
        <w:t>entrará en vigencia</w:t>
      </w:r>
      <w:proofErr w:type="gramEnd"/>
      <w:r w:rsidRPr="000A72E2">
        <w:rPr>
          <w:rFonts w:ascii="Times New Roman" w:eastAsia="Times New Roman" w:hAnsi="Times New Roman" w:cs="Times New Roman"/>
          <w:color w:val="333333"/>
          <w:kern w:val="0"/>
          <w:lang w:eastAsia="es-CO"/>
          <w14:ligatures w14:val="none"/>
        </w:rPr>
        <w:t xml:space="preserve"> una vez la Unidad Administrativa Especial Dirección de Impuestos y Aduanas Nacionales -DIAN, establezca los requisitos, condiciones técnicas y tecnológicas para su generación.</w:t>
      </w:r>
    </w:p>
    <w:p w14:paraId="0BEF9483"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El documento soporte en adquisiciones efectuadas a los sujetos no obligados a facturar se deberá generar en físico hasta la fecha en que la Unidad Administrativa Especial Dirección de Impuestos y Aduanas Nacionales -DIAN, establezca los requisitos, condiciones técnicas y tecnológicas para su generación electrónica."</w:t>
      </w:r>
    </w:p>
    <w:p w14:paraId="01210C42" w14:textId="77777777" w:rsidR="00DD286B" w:rsidRPr="000A72E2" w:rsidRDefault="00DD286B" w:rsidP="00DD286B">
      <w:pPr>
        <w:shd w:val="clear" w:color="auto" w:fill="FFFFFF"/>
        <w:spacing w:after="0" w:line="360" w:lineRule="auto"/>
        <w:jc w:val="both"/>
        <w:rPr>
          <w:rFonts w:ascii="Times New Roman" w:eastAsia="Times New Roman" w:hAnsi="Times New Roman" w:cs="Times New Roman"/>
          <w:color w:val="333333"/>
          <w:kern w:val="0"/>
          <w:lang w:eastAsia="es-CO"/>
          <w14:ligatures w14:val="none"/>
        </w:rPr>
      </w:pPr>
      <w:r w:rsidRPr="000A72E2">
        <w:rPr>
          <w:rFonts w:ascii="Times New Roman" w:eastAsia="Times New Roman" w:hAnsi="Times New Roman" w:cs="Times New Roman"/>
          <w:color w:val="333333"/>
          <w:kern w:val="0"/>
          <w:lang w:eastAsia="es-CO"/>
          <w14:ligatures w14:val="none"/>
        </w:rPr>
        <w:t>(Parágrafo 3, modificado por el Art. </w:t>
      </w:r>
      <w:hyperlink r:id="rId8" w:anchor="2" w:history="1">
        <w:r w:rsidRPr="000A72E2">
          <w:rPr>
            <w:rFonts w:ascii="Times New Roman" w:eastAsia="Times New Roman" w:hAnsi="Times New Roman" w:cs="Times New Roman"/>
            <w:color w:val="007BFF"/>
            <w:kern w:val="0"/>
            <w:lang w:eastAsia="es-CO"/>
            <w14:ligatures w14:val="none"/>
          </w:rPr>
          <w:t>2</w:t>
        </w:r>
      </w:hyperlink>
      <w:r w:rsidRPr="000A72E2">
        <w:rPr>
          <w:rFonts w:ascii="Times New Roman" w:eastAsia="Times New Roman" w:hAnsi="Times New Roman" w:cs="Times New Roman"/>
          <w:color w:val="333333"/>
          <w:kern w:val="0"/>
          <w:lang w:eastAsia="es-CO"/>
          <w14:ligatures w14:val="none"/>
        </w:rPr>
        <w:t> del Decreto 723 de 2021)</w:t>
      </w:r>
    </w:p>
    <w:sectPr w:rsidR="00DD286B" w:rsidRPr="000A72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86B"/>
    <w:rsid w:val="00CC55B9"/>
    <w:rsid w:val="00DD28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98401"/>
  <w15:chartTrackingRefBased/>
  <w15:docId w15:val="{A3EA06D4-BC34-4C1A-A287-DA3DB503B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86B"/>
  </w:style>
  <w:style w:type="paragraph" w:styleId="Ttulo1">
    <w:name w:val="heading 1"/>
    <w:basedOn w:val="Normal"/>
    <w:next w:val="Normal"/>
    <w:link w:val="Ttulo1Car"/>
    <w:uiPriority w:val="9"/>
    <w:qFormat/>
    <w:rsid w:val="00DD28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D28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D286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D286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D286B"/>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D286B"/>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D286B"/>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D286B"/>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D286B"/>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D286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D286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D286B"/>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D286B"/>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D286B"/>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D286B"/>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D286B"/>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D286B"/>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D286B"/>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D28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D286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D286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D286B"/>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D286B"/>
    <w:pPr>
      <w:spacing w:before="160"/>
      <w:jc w:val="center"/>
    </w:pPr>
    <w:rPr>
      <w:i/>
      <w:iCs/>
      <w:color w:val="404040" w:themeColor="text1" w:themeTint="BF"/>
    </w:rPr>
  </w:style>
  <w:style w:type="character" w:customStyle="1" w:styleId="CitaCar">
    <w:name w:val="Cita Car"/>
    <w:basedOn w:val="Fuentedeprrafopredeter"/>
    <w:link w:val="Cita"/>
    <w:uiPriority w:val="29"/>
    <w:rsid w:val="00DD286B"/>
    <w:rPr>
      <w:i/>
      <w:iCs/>
      <w:color w:val="404040" w:themeColor="text1" w:themeTint="BF"/>
    </w:rPr>
  </w:style>
  <w:style w:type="paragraph" w:styleId="Prrafodelista">
    <w:name w:val="List Paragraph"/>
    <w:basedOn w:val="Normal"/>
    <w:uiPriority w:val="34"/>
    <w:qFormat/>
    <w:rsid w:val="00DD286B"/>
    <w:pPr>
      <w:ind w:left="720"/>
      <w:contextualSpacing/>
    </w:pPr>
  </w:style>
  <w:style w:type="character" w:styleId="nfasisintenso">
    <w:name w:val="Intense Emphasis"/>
    <w:basedOn w:val="Fuentedeprrafopredeter"/>
    <w:uiPriority w:val="21"/>
    <w:qFormat/>
    <w:rsid w:val="00DD286B"/>
    <w:rPr>
      <w:i/>
      <w:iCs/>
      <w:color w:val="0F4761" w:themeColor="accent1" w:themeShade="BF"/>
    </w:rPr>
  </w:style>
  <w:style w:type="paragraph" w:styleId="Citadestacada">
    <w:name w:val="Intense Quote"/>
    <w:basedOn w:val="Normal"/>
    <w:next w:val="Normal"/>
    <w:link w:val="CitadestacadaCar"/>
    <w:uiPriority w:val="30"/>
    <w:qFormat/>
    <w:rsid w:val="00DD28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D286B"/>
    <w:rPr>
      <w:i/>
      <w:iCs/>
      <w:color w:val="0F4761" w:themeColor="accent1" w:themeShade="BF"/>
    </w:rPr>
  </w:style>
  <w:style w:type="character" w:styleId="Referenciaintensa">
    <w:name w:val="Intense Reference"/>
    <w:basedOn w:val="Fuentedeprrafopredeter"/>
    <w:uiPriority w:val="32"/>
    <w:qFormat/>
    <w:rsid w:val="00DD28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165129" TargetMode="External"/><Relationship Id="rId3" Type="http://schemas.openxmlformats.org/officeDocument/2006/relationships/webSettings" Target="webSettings.xml"/><Relationship Id="rId7" Type="http://schemas.openxmlformats.org/officeDocument/2006/relationships/hyperlink" Target="https://www.funcionpublica.gov.co/eva/gestornormativo/norma.php?i=65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ncionpublica.gov.co/eva/gestornormativo/norma.php?i=165129" TargetMode="External"/><Relationship Id="rId5" Type="http://schemas.openxmlformats.org/officeDocument/2006/relationships/hyperlink" Target="https://www.funcionpublica.gov.co/eva/gestornormativo/norma.php?i=205703" TargetMode="External"/><Relationship Id="rId10" Type="http://schemas.openxmlformats.org/officeDocument/2006/relationships/theme" Target="theme/theme1.xml"/><Relationship Id="rId4" Type="http://schemas.openxmlformats.org/officeDocument/2006/relationships/hyperlink" Target="https://www.funcionpublica.gov.co/eva/gestornormativo/norma.php?i=6533"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994</Words>
  <Characters>5470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Lòpez</dc:creator>
  <cp:keywords/>
  <dc:description/>
  <cp:lastModifiedBy>Diana Alexandra Orozco Lòpez</cp:lastModifiedBy>
  <cp:revision>1</cp:revision>
  <dcterms:created xsi:type="dcterms:W3CDTF">2024-04-18T19:36:00Z</dcterms:created>
  <dcterms:modified xsi:type="dcterms:W3CDTF">2024-04-18T19:40:00Z</dcterms:modified>
</cp:coreProperties>
</file>