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D1542" w14:textId="5A1ED747" w:rsidR="007F5CC8" w:rsidRPr="00530E4F" w:rsidRDefault="007F5CC8" w:rsidP="00530E4F">
      <w:pPr>
        <w:spacing w:line="360" w:lineRule="auto"/>
        <w:rPr>
          <w:szCs w:val="24"/>
        </w:rPr>
      </w:pPr>
    </w:p>
    <w:p w14:paraId="6C35A60B" w14:textId="612FF060" w:rsidR="00530E4F" w:rsidRPr="00530E4F" w:rsidRDefault="00530E4F" w:rsidP="00530E4F">
      <w:pPr>
        <w:spacing w:line="360" w:lineRule="auto"/>
        <w:rPr>
          <w:szCs w:val="24"/>
        </w:rPr>
      </w:pPr>
    </w:p>
    <w:p w14:paraId="072580CC" w14:textId="44CAD77E" w:rsidR="00530E4F" w:rsidRPr="00530E4F" w:rsidRDefault="00530E4F" w:rsidP="00530E4F">
      <w:pPr>
        <w:spacing w:line="360" w:lineRule="auto"/>
        <w:rPr>
          <w:szCs w:val="24"/>
        </w:rPr>
      </w:pPr>
    </w:p>
    <w:p w14:paraId="791FC29D" w14:textId="77777777" w:rsidR="00530E4F" w:rsidRPr="00530E4F" w:rsidRDefault="00530E4F" w:rsidP="00530E4F">
      <w:pPr>
        <w:pStyle w:val="NormalWeb"/>
        <w:spacing w:before="0" w:beforeAutospacing="0" w:after="0" w:afterAutospacing="0" w:line="360" w:lineRule="auto"/>
        <w:jc w:val="both"/>
        <w:rPr>
          <w:rFonts w:ascii="Segoe UI" w:hAnsi="Segoe UI" w:cs="Segoe UI"/>
          <w:color w:val="000000"/>
        </w:rPr>
      </w:pPr>
    </w:p>
    <w:p w14:paraId="09D3FF66" w14:textId="77777777" w:rsidR="00530E4F" w:rsidRPr="00530E4F" w:rsidRDefault="00530E4F" w:rsidP="00530E4F">
      <w:pPr>
        <w:spacing w:after="0" w:line="360" w:lineRule="auto"/>
        <w:jc w:val="center"/>
        <w:rPr>
          <w:rFonts w:ascii="Segoe UI" w:eastAsia="Times New Roman" w:hAnsi="Segoe UI" w:cs="Segoe UI"/>
          <w:color w:val="000000"/>
          <w:szCs w:val="24"/>
          <w:lang w:eastAsia="es-CO"/>
        </w:rPr>
      </w:pPr>
      <w:r w:rsidRPr="00530E4F">
        <w:rPr>
          <w:rFonts w:ascii="Segoe UI" w:eastAsia="Times New Roman" w:hAnsi="Segoe UI" w:cs="Segoe UI"/>
          <w:b/>
          <w:bCs/>
          <w:color w:val="000000"/>
          <w:szCs w:val="24"/>
          <w:lang w:eastAsia="es-CO"/>
        </w:rPr>
        <w:t xml:space="preserve">Concepto </w:t>
      </w:r>
      <w:proofErr w:type="spellStart"/>
      <w:r w:rsidRPr="00530E4F">
        <w:rPr>
          <w:rFonts w:ascii="Segoe UI" w:eastAsia="Times New Roman" w:hAnsi="Segoe UI" w:cs="Segoe UI"/>
          <w:b/>
          <w:bCs/>
          <w:color w:val="000000"/>
          <w:szCs w:val="24"/>
          <w:lang w:eastAsia="es-CO"/>
        </w:rPr>
        <w:t>Nº</w:t>
      </w:r>
      <w:proofErr w:type="spellEnd"/>
      <w:r w:rsidRPr="00530E4F">
        <w:rPr>
          <w:rFonts w:ascii="Segoe UI" w:eastAsia="Times New Roman" w:hAnsi="Segoe UI" w:cs="Segoe UI"/>
          <w:b/>
          <w:bCs/>
          <w:color w:val="000000"/>
          <w:szCs w:val="24"/>
          <w:lang w:eastAsia="es-CO"/>
        </w:rPr>
        <w:t xml:space="preserve"> 61000</w:t>
      </w:r>
    </w:p>
    <w:p w14:paraId="24F99E8F" w14:textId="77777777" w:rsidR="00530E4F" w:rsidRPr="00530E4F" w:rsidRDefault="00530E4F" w:rsidP="00530E4F">
      <w:pPr>
        <w:spacing w:after="0" w:line="360" w:lineRule="auto"/>
        <w:jc w:val="center"/>
        <w:rPr>
          <w:rFonts w:ascii="Segoe UI" w:eastAsia="Times New Roman" w:hAnsi="Segoe UI" w:cs="Segoe UI"/>
          <w:color w:val="000000"/>
          <w:szCs w:val="24"/>
          <w:lang w:eastAsia="es-CO"/>
        </w:rPr>
      </w:pPr>
      <w:r w:rsidRPr="00530E4F">
        <w:rPr>
          <w:rFonts w:ascii="Segoe UI" w:eastAsia="Times New Roman" w:hAnsi="Segoe UI" w:cs="Segoe UI"/>
          <w:b/>
          <w:bCs/>
          <w:color w:val="000000"/>
          <w:szCs w:val="24"/>
          <w:lang w:eastAsia="es-CO"/>
        </w:rPr>
        <w:t>19-12-2022</w:t>
      </w:r>
    </w:p>
    <w:p w14:paraId="174497C3" w14:textId="77777777" w:rsidR="00530E4F" w:rsidRPr="00530E4F" w:rsidRDefault="00530E4F" w:rsidP="00530E4F">
      <w:pPr>
        <w:spacing w:after="0" w:line="360" w:lineRule="auto"/>
        <w:jc w:val="center"/>
        <w:rPr>
          <w:rFonts w:ascii="Segoe UI" w:eastAsia="Times New Roman" w:hAnsi="Segoe UI" w:cs="Segoe UI"/>
          <w:color w:val="000000"/>
          <w:szCs w:val="24"/>
          <w:lang w:eastAsia="es-CO"/>
        </w:rPr>
      </w:pPr>
      <w:r w:rsidRPr="00530E4F">
        <w:rPr>
          <w:rFonts w:ascii="Segoe UI" w:eastAsia="Times New Roman" w:hAnsi="Segoe UI" w:cs="Segoe UI"/>
          <w:b/>
          <w:bCs/>
          <w:color w:val="000000"/>
          <w:szCs w:val="24"/>
          <w:lang w:eastAsia="es-CO"/>
        </w:rPr>
        <w:t>Ministerio de Hacienda y Crédito Público</w:t>
      </w:r>
    </w:p>
    <w:p w14:paraId="3D7ED614" w14:textId="77777777" w:rsidR="00530E4F" w:rsidRPr="00530E4F" w:rsidRDefault="00530E4F" w:rsidP="00530E4F">
      <w:pPr>
        <w:spacing w:after="0" w:line="360" w:lineRule="auto"/>
        <w:jc w:val="both"/>
        <w:rPr>
          <w:rFonts w:ascii="Segoe UI" w:eastAsia="Times New Roman" w:hAnsi="Segoe UI" w:cs="Segoe UI"/>
          <w:color w:val="000000"/>
          <w:szCs w:val="24"/>
          <w:lang w:eastAsia="es-CO"/>
        </w:rPr>
      </w:pPr>
      <w:r w:rsidRPr="00530E4F">
        <w:rPr>
          <w:rFonts w:ascii="Segoe UI" w:eastAsia="Times New Roman" w:hAnsi="Segoe UI" w:cs="Segoe UI"/>
          <w:color w:val="000000"/>
          <w:szCs w:val="24"/>
          <w:lang w:eastAsia="es-CO"/>
        </w:rPr>
        <w:t> </w:t>
      </w:r>
    </w:p>
    <w:p w14:paraId="45E7869F" w14:textId="77777777" w:rsidR="00530E4F" w:rsidRPr="00530E4F" w:rsidRDefault="00530E4F" w:rsidP="00530E4F">
      <w:pPr>
        <w:spacing w:after="0" w:line="360" w:lineRule="auto"/>
        <w:jc w:val="both"/>
        <w:rPr>
          <w:rFonts w:ascii="Segoe UI" w:eastAsia="Times New Roman" w:hAnsi="Segoe UI" w:cs="Segoe UI"/>
          <w:color w:val="000000"/>
          <w:szCs w:val="24"/>
          <w:lang w:eastAsia="es-CO"/>
        </w:rPr>
      </w:pPr>
      <w:r w:rsidRPr="00530E4F">
        <w:rPr>
          <w:rFonts w:ascii="Segoe UI" w:eastAsia="Times New Roman" w:hAnsi="Segoe UI" w:cs="Segoe UI"/>
          <w:color w:val="000000"/>
          <w:szCs w:val="24"/>
          <w:lang w:eastAsia="es-CO"/>
        </w:rPr>
        <w:t> </w:t>
      </w:r>
    </w:p>
    <w:p w14:paraId="5E2454EE" w14:textId="77777777" w:rsidR="00530E4F" w:rsidRPr="00530E4F" w:rsidRDefault="00530E4F" w:rsidP="00530E4F">
      <w:pPr>
        <w:spacing w:after="0" w:line="360" w:lineRule="auto"/>
        <w:jc w:val="both"/>
        <w:rPr>
          <w:rFonts w:ascii="Segoe UI" w:eastAsia="Times New Roman" w:hAnsi="Segoe UI" w:cs="Segoe UI"/>
          <w:color w:val="000000"/>
          <w:szCs w:val="24"/>
          <w:lang w:eastAsia="es-CO"/>
        </w:rPr>
      </w:pPr>
      <w:r w:rsidRPr="00530E4F">
        <w:rPr>
          <w:rFonts w:ascii="Segoe UI" w:eastAsia="Times New Roman" w:hAnsi="Segoe UI" w:cs="Segoe UI"/>
          <w:color w:val="000000"/>
          <w:szCs w:val="24"/>
          <w:lang w:eastAsia="es-CO"/>
        </w:rPr>
        <w:t>6.2. Subdirección de Fortalecimiento Institucional Territorial</w:t>
      </w:r>
    </w:p>
    <w:p w14:paraId="32DB2021" w14:textId="77777777" w:rsidR="00530E4F" w:rsidRPr="00530E4F" w:rsidRDefault="00530E4F" w:rsidP="00530E4F">
      <w:pPr>
        <w:spacing w:after="0" w:line="360" w:lineRule="auto"/>
        <w:jc w:val="both"/>
        <w:rPr>
          <w:rFonts w:ascii="Segoe UI" w:eastAsia="Times New Roman" w:hAnsi="Segoe UI" w:cs="Segoe UI"/>
          <w:color w:val="000000"/>
          <w:szCs w:val="24"/>
          <w:lang w:eastAsia="es-CO"/>
        </w:rPr>
      </w:pPr>
      <w:r w:rsidRPr="00530E4F">
        <w:rPr>
          <w:rFonts w:ascii="Segoe UI" w:eastAsia="Times New Roman" w:hAnsi="Segoe UI" w:cs="Segoe UI"/>
          <w:color w:val="000000"/>
          <w:szCs w:val="24"/>
          <w:lang w:eastAsia="es-CO"/>
        </w:rPr>
        <w:t> </w:t>
      </w:r>
    </w:p>
    <w:p w14:paraId="1B6C5A85" w14:textId="77777777" w:rsidR="00530E4F" w:rsidRPr="00530E4F" w:rsidRDefault="00530E4F" w:rsidP="00530E4F">
      <w:pPr>
        <w:spacing w:after="0" w:line="360" w:lineRule="auto"/>
        <w:jc w:val="both"/>
        <w:rPr>
          <w:rFonts w:ascii="Segoe UI" w:eastAsia="Times New Roman" w:hAnsi="Segoe UI" w:cs="Segoe UI"/>
          <w:color w:val="000000"/>
          <w:szCs w:val="24"/>
          <w:lang w:eastAsia="es-CO"/>
        </w:rPr>
      </w:pPr>
      <w:r w:rsidRPr="00530E4F">
        <w:rPr>
          <w:rFonts w:ascii="Segoe UI" w:eastAsia="Times New Roman" w:hAnsi="Segoe UI" w:cs="Segoe UI"/>
          <w:b/>
          <w:bCs/>
          <w:color w:val="000000"/>
          <w:szCs w:val="24"/>
          <w:lang w:eastAsia="es-CO"/>
        </w:rPr>
        <w:t>Radicado:</w:t>
      </w:r>
      <w:r w:rsidRPr="00530E4F">
        <w:rPr>
          <w:rFonts w:ascii="Segoe UI" w:eastAsia="Times New Roman" w:hAnsi="Segoe UI" w:cs="Segoe UI"/>
          <w:color w:val="000000"/>
          <w:szCs w:val="24"/>
          <w:lang w:eastAsia="es-CO"/>
        </w:rPr>
        <w:t> 2-2022-061000</w:t>
      </w:r>
    </w:p>
    <w:p w14:paraId="26D97390" w14:textId="77777777" w:rsidR="00530E4F" w:rsidRPr="00530E4F" w:rsidRDefault="00530E4F" w:rsidP="00530E4F">
      <w:pPr>
        <w:spacing w:after="0" w:line="360" w:lineRule="auto"/>
        <w:jc w:val="both"/>
        <w:rPr>
          <w:rFonts w:ascii="Segoe UI" w:eastAsia="Times New Roman" w:hAnsi="Segoe UI" w:cs="Segoe UI"/>
          <w:color w:val="000000"/>
          <w:szCs w:val="24"/>
          <w:lang w:eastAsia="es-CO"/>
        </w:rPr>
      </w:pPr>
      <w:r w:rsidRPr="00530E4F">
        <w:rPr>
          <w:rFonts w:ascii="Segoe UI" w:eastAsia="Times New Roman" w:hAnsi="Segoe UI" w:cs="Segoe UI"/>
          <w:color w:val="000000"/>
          <w:szCs w:val="24"/>
          <w:lang w:eastAsia="es-CO"/>
        </w:rPr>
        <w:t>Bogotá D.C.,</w:t>
      </w:r>
    </w:p>
    <w:p w14:paraId="7F332D95" w14:textId="77777777" w:rsidR="00530E4F" w:rsidRPr="00530E4F" w:rsidRDefault="00530E4F" w:rsidP="00530E4F">
      <w:pPr>
        <w:spacing w:after="0" w:line="360" w:lineRule="auto"/>
        <w:jc w:val="both"/>
        <w:rPr>
          <w:rFonts w:ascii="Segoe UI" w:eastAsia="Times New Roman" w:hAnsi="Segoe UI" w:cs="Segoe UI"/>
          <w:color w:val="000000"/>
          <w:szCs w:val="24"/>
          <w:lang w:eastAsia="es-CO"/>
        </w:rPr>
      </w:pPr>
      <w:r w:rsidRPr="00530E4F">
        <w:rPr>
          <w:rFonts w:ascii="Segoe UI" w:eastAsia="Times New Roman" w:hAnsi="Segoe UI" w:cs="Segoe UI"/>
          <w:color w:val="000000"/>
          <w:szCs w:val="24"/>
          <w:lang w:eastAsia="es-CO"/>
        </w:rPr>
        <w:t> </w:t>
      </w:r>
    </w:p>
    <w:p w14:paraId="696897E6" w14:textId="77777777" w:rsidR="00530E4F" w:rsidRPr="00530E4F" w:rsidRDefault="00530E4F" w:rsidP="00530E4F">
      <w:pPr>
        <w:spacing w:after="0" w:line="360" w:lineRule="auto"/>
        <w:jc w:val="both"/>
        <w:rPr>
          <w:rFonts w:ascii="Segoe UI" w:eastAsia="Times New Roman" w:hAnsi="Segoe UI" w:cs="Segoe UI"/>
          <w:color w:val="000000"/>
          <w:szCs w:val="24"/>
          <w:lang w:eastAsia="es-CO"/>
        </w:rPr>
      </w:pPr>
      <w:proofErr w:type="gramStart"/>
      <w:r w:rsidRPr="00530E4F">
        <w:rPr>
          <w:rFonts w:ascii="Segoe UI" w:eastAsia="Times New Roman" w:hAnsi="Segoe UI" w:cs="Segoe UI"/>
          <w:color w:val="000000"/>
          <w:szCs w:val="24"/>
          <w:lang w:eastAsia="es-CO"/>
        </w:rPr>
        <w:t>Radicado entrada</w:t>
      </w:r>
      <w:proofErr w:type="gramEnd"/>
      <w:r w:rsidRPr="00530E4F">
        <w:rPr>
          <w:rFonts w:ascii="Segoe UI" w:eastAsia="Times New Roman" w:hAnsi="Segoe UI" w:cs="Segoe UI"/>
          <w:color w:val="000000"/>
          <w:szCs w:val="24"/>
          <w:lang w:eastAsia="es-CO"/>
        </w:rPr>
        <w:t xml:space="preserve"> 1-2022-104679</w:t>
      </w:r>
    </w:p>
    <w:p w14:paraId="6C984C9C" w14:textId="77777777" w:rsidR="00530E4F" w:rsidRPr="00530E4F" w:rsidRDefault="00530E4F" w:rsidP="00530E4F">
      <w:pPr>
        <w:spacing w:after="0" w:line="360" w:lineRule="auto"/>
        <w:jc w:val="both"/>
        <w:rPr>
          <w:rFonts w:ascii="Segoe UI" w:eastAsia="Times New Roman" w:hAnsi="Segoe UI" w:cs="Segoe UI"/>
          <w:color w:val="000000"/>
          <w:szCs w:val="24"/>
          <w:lang w:eastAsia="es-CO"/>
        </w:rPr>
      </w:pPr>
      <w:r w:rsidRPr="00530E4F">
        <w:rPr>
          <w:rFonts w:ascii="Segoe UI" w:eastAsia="Times New Roman" w:hAnsi="Segoe UI" w:cs="Segoe UI"/>
          <w:color w:val="000000"/>
          <w:szCs w:val="24"/>
          <w:lang w:eastAsia="es-CO"/>
        </w:rPr>
        <w:t>No. Expediente 1014/2022/GEA</w:t>
      </w:r>
    </w:p>
    <w:p w14:paraId="29BFF8C1" w14:textId="77777777" w:rsidR="00530E4F" w:rsidRPr="00530E4F" w:rsidRDefault="00530E4F" w:rsidP="00530E4F">
      <w:pPr>
        <w:spacing w:after="0" w:line="360" w:lineRule="auto"/>
        <w:jc w:val="both"/>
        <w:rPr>
          <w:rFonts w:ascii="Segoe UI" w:eastAsia="Times New Roman" w:hAnsi="Segoe UI" w:cs="Segoe UI"/>
          <w:color w:val="000000"/>
          <w:szCs w:val="24"/>
          <w:lang w:eastAsia="es-CO"/>
        </w:rPr>
      </w:pPr>
      <w:r w:rsidRPr="00530E4F">
        <w:rPr>
          <w:rFonts w:ascii="Segoe UI" w:eastAsia="Times New Roman" w:hAnsi="Segoe UI" w:cs="Segoe UI"/>
          <w:color w:val="000000"/>
          <w:szCs w:val="24"/>
          <w:lang w:eastAsia="es-CO"/>
        </w:rPr>
        <w:t> </w:t>
      </w:r>
    </w:p>
    <w:p w14:paraId="44B6D629" w14:textId="77777777" w:rsidR="00530E4F" w:rsidRPr="00530E4F" w:rsidRDefault="00530E4F" w:rsidP="00530E4F">
      <w:pPr>
        <w:spacing w:after="0" w:line="360" w:lineRule="auto"/>
        <w:jc w:val="both"/>
        <w:rPr>
          <w:rFonts w:ascii="Segoe UI" w:eastAsia="Times New Roman" w:hAnsi="Segoe UI" w:cs="Segoe UI"/>
          <w:color w:val="000000"/>
          <w:szCs w:val="24"/>
          <w:lang w:eastAsia="es-CO"/>
        </w:rPr>
      </w:pPr>
      <w:r w:rsidRPr="00530E4F">
        <w:rPr>
          <w:rFonts w:ascii="Segoe UI" w:eastAsia="Times New Roman" w:hAnsi="Segoe UI" w:cs="Segoe UI"/>
          <w:b/>
          <w:bCs/>
          <w:color w:val="000000"/>
          <w:szCs w:val="24"/>
          <w:lang w:eastAsia="es-CO"/>
        </w:rPr>
        <w:t>Asunto:</w:t>
      </w:r>
      <w:r w:rsidRPr="00530E4F">
        <w:rPr>
          <w:rFonts w:ascii="Segoe UI" w:eastAsia="Times New Roman" w:hAnsi="Segoe UI" w:cs="Segoe UI"/>
          <w:color w:val="000000"/>
          <w:szCs w:val="24"/>
          <w:lang w:eastAsia="es-CO"/>
        </w:rPr>
        <w:t> Oficio No. 1-2022-104679 del 14 de diciembre de 2022</w:t>
      </w:r>
    </w:p>
    <w:p w14:paraId="3542B8C3" w14:textId="77777777" w:rsidR="00530E4F" w:rsidRPr="00530E4F" w:rsidRDefault="00530E4F" w:rsidP="00530E4F">
      <w:pPr>
        <w:spacing w:after="0" w:line="360" w:lineRule="auto"/>
        <w:jc w:val="both"/>
        <w:rPr>
          <w:rFonts w:ascii="Segoe UI" w:eastAsia="Times New Roman" w:hAnsi="Segoe UI" w:cs="Segoe UI"/>
          <w:color w:val="000000"/>
          <w:szCs w:val="24"/>
          <w:lang w:eastAsia="es-CO"/>
        </w:rPr>
      </w:pPr>
      <w:r w:rsidRPr="00530E4F">
        <w:rPr>
          <w:rFonts w:ascii="Segoe UI" w:eastAsia="Times New Roman" w:hAnsi="Segoe UI" w:cs="Segoe UI"/>
          <w:b/>
          <w:bCs/>
          <w:color w:val="000000"/>
          <w:szCs w:val="24"/>
          <w:lang w:eastAsia="es-CO"/>
        </w:rPr>
        <w:t>Tema:</w:t>
      </w:r>
      <w:r w:rsidRPr="00530E4F">
        <w:rPr>
          <w:rFonts w:ascii="Segoe UI" w:eastAsia="Times New Roman" w:hAnsi="Segoe UI" w:cs="Segoe UI"/>
          <w:color w:val="000000"/>
          <w:szCs w:val="24"/>
          <w:lang w:eastAsia="es-CO"/>
        </w:rPr>
        <w:t> Procedimiento Tributario</w:t>
      </w:r>
    </w:p>
    <w:p w14:paraId="5BB6F0D2" w14:textId="77777777" w:rsidR="00530E4F" w:rsidRPr="00530E4F" w:rsidRDefault="00530E4F" w:rsidP="00530E4F">
      <w:pPr>
        <w:spacing w:after="0" w:line="360" w:lineRule="auto"/>
        <w:jc w:val="both"/>
        <w:rPr>
          <w:rFonts w:ascii="Segoe UI" w:eastAsia="Times New Roman" w:hAnsi="Segoe UI" w:cs="Segoe UI"/>
          <w:color w:val="000000"/>
          <w:szCs w:val="24"/>
          <w:lang w:eastAsia="es-CO"/>
        </w:rPr>
      </w:pPr>
      <w:r w:rsidRPr="00530E4F">
        <w:rPr>
          <w:rFonts w:ascii="Segoe UI" w:eastAsia="Times New Roman" w:hAnsi="Segoe UI" w:cs="Segoe UI"/>
          <w:color w:val="000000"/>
          <w:szCs w:val="24"/>
          <w:lang w:eastAsia="es-CO"/>
        </w:rPr>
        <w:t> </w:t>
      </w:r>
    </w:p>
    <w:p w14:paraId="14419C48" w14:textId="77777777" w:rsidR="00530E4F" w:rsidRPr="00530E4F" w:rsidRDefault="00530E4F" w:rsidP="00530E4F">
      <w:pPr>
        <w:spacing w:after="0" w:line="360" w:lineRule="auto"/>
        <w:jc w:val="both"/>
        <w:rPr>
          <w:rFonts w:ascii="Segoe UI" w:eastAsia="Times New Roman" w:hAnsi="Segoe UI" w:cs="Segoe UI"/>
          <w:color w:val="000000"/>
          <w:szCs w:val="24"/>
          <w:lang w:eastAsia="es-CO"/>
        </w:rPr>
      </w:pPr>
      <w:r w:rsidRPr="00530E4F">
        <w:rPr>
          <w:rFonts w:ascii="Segoe UI" w:eastAsia="Times New Roman" w:hAnsi="Segoe UI" w:cs="Segoe UI"/>
          <w:color w:val="000000"/>
          <w:szCs w:val="24"/>
          <w:lang w:eastAsia="es-CO"/>
        </w:rPr>
        <w:t>Cordial saludo:</w:t>
      </w:r>
    </w:p>
    <w:p w14:paraId="34153087" w14:textId="77777777" w:rsidR="00530E4F" w:rsidRPr="00530E4F" w:rsidRDefault="00530E4F" w:rsidP="00530E4F">
      <w:pPr>
        <w:spacing w:after="0" w:line="360" w:lineRule="auto"/>
        <w:jc w:val="both"/>
        <w:rPr>
          <w:rFonts w:ascii="Segoe UI" w:eastAsia="Times New Roman" w:hAnsi="Segoe UI" w:cs="Segoe UI"/>
          <w:color w:val="000000"/>
          <w:szCs w:val="24"/>
          <w:lang w:eastAsia="es-CO"/>
        </w:rPr>
      </w:pPr>
      <w:r w:rsidRPr="00530E4F">
        <w:rPr>
          <w:rFonts w:ascii="Segoe UI" w:eastAsia="Times New Roman" w:hAnsi="Segoe UI" w:cs="Segoe UI"/>
          <w:color w:val="000000"/>
          <w:szCs w:val="24"/>
          <w:lang w:eastAsia="es-CO"/>
        </w:rPr>
        <w:t> </w:t>
      </w:r>
    </w:p>
    <w:p w14:paraId="2BF371A1" w14:textId="77777777" w:rsidR="00530E4F" w:rsidRPr="00530E4F" w:rsidRDefault="00530E4F" w:rsidP="00530E4F">
      <w:pPr>
        <w:spacing w:after="0" w:line="360" w:lineRule="auto"/>
        <w:jc w:val="both"/>
        <w:rPr>
          <w:rFonts w:ascii="Segoe UI" w:eastAsia="Times New Roman" w:hAnsi="Segoe UI" w:cs="Segoe UI"/>
          <w:color w:val="000000"/>
          <w:szCs w:val="24"/>
          <w:lang w:eastAsia="es-CO"/>
        </w:rPr>
      </w:pPr>
      <w:r w:rsidRPr="00530E4F">
        <w:rPr>
          <w:rFonts w:ascii="Segoe UI" w:eastAsia="Times New Roman" w:hAnsi="Segoe UI" w:cs="Segoe UI"/>
          <w:color w:val="000000"/>
          <w:szCs w:val="24"/>
          <w:lang w:eastAsia="es-CO"/>
        </w:rPr>
        <w:t>Mediante oficio radicado en este Ministerio con el número y fecha del asunto, haciendo referencia a lo normado en los artículos 91 y 93 de la Ley 2277 de 2022, efectúa usted dos (2) interrogantes, los cuales serán atendidos en el mismo orden de consulta no sin antes precisar que nuestros pronunciamientos se emiten en los términos y con los estrictos alcances de los artículos 14-2 y 28 del Código de Procedimiento Administrativo y de lo Contencioso Administrativo, por lo que no tienen efectos obligatorios ni vinculantes, y no comprometen la responsabilidad de este Ministerio.</w:t>
      </w:r>
    </w:p>
    <w:p w14:paraId="355AE503" w14:textId="77777777" w:rsidR="00530E4F" w:rsidRPr="00530E4F" w:rsidRDefault="00530E4F" w:rsidP="00530E4F">
      <w:pPr>
        <w:spacing w:after="0" w:line="360" w:lineRule="auto"/>
        <w:jc w:val="both"/>
        <w:rPr>
          <w:rFonts w:ascii="Segoe UI" w:eastAsia="Times New Roman" w:hAnsi="Segoe UI" w:cs="Segoe UI"/>
          <w:color w:val="000000"/>
          <w:szCs w:val="24"/>
          <w:lang w:eastAsia="es-CO"/>
        </w:rPr>
      </w:pPr>
      <w:r w:rsidRPr="00530E4F">
        <w:rPr>
          <w:rFonts w:ascii="Segoe UI" w:eastAsia="Times New Roman" w:hAnsi="Segoe UI" w:cs="Segoe UI"/>
          <w:color w:val="000000"/>
          <w:szCs w:val="24"/>
          <w:lang w:eastAsia="es-CO"/>
        </w:rPr>
        <w:t>Consulta usted:</w:t>
      </w:r>
    </w:p>
    <w:p w14:paraId="7B106E6A" w14:textId="77777777" w:rsidR="00530E4F" w:rsidRPr="00530E4F" w:rsidRDefault="00530E4F" w:rsidP="00530E4F">
      <w:pPr>
        <w:spacing w:after="0" w:line="360" w:lineRule="auto"/>
        <w:jc w:val="both"/>
        <w:rPr>
          <w:rFonts w:ascii="Segoe UI" w:eastAsia="Times New Roman" w:hAnsi="Segoe UI" w:cs="Segoe UI"/>
          <w:color w:val="000000"/>
          <w:szCs w:val="24"/>
          <w:lang w:eastAsia="es-CO"/>
        </w:rPr>
      </w:pPr>
      <w:r w:rsidRPr="00530E4F">
        <w:rPr>
          <w:rFonts w:ascii="Segoe UI" w:eastAsia="Times New Roman" w:hAnsi="Segoe UI" w:cs="Segoe UI"/>
          <w:color w:val="000000"/>
          <w:szCs w:val="24"/>
          <w:lang w:eastAsia="es-CO"/>
        </w:rPr>
        <w:t> </w:t>
      </w:r>
    </w:p>
    <w:p w14:paraId="4068DFE7" w14:textId="77777777" w:rsidR="00530E4F" w:rsidRPr="00530E4F" w:rsidRDefault="00530E4F" w:rsidP="00530E4F">
      <w:pPr>
        <w:spacing w:after="0" w:line="360" w:lineRule="auto"/>
        <w:ind w:left="284"/>
        <w:jc w:val="both"/>
        <w:rPr>
          <w:rFonts w:ascii="Segoe UI" w:eastAsia="Times New Roman" w:hAnsi="Segoe UI" w:cs="Segoe UI"/>
          <w:color w:val="000000"/>
          <w:szCs w:val="24"/>
          <w:lang w:eastAsia="es-CO"/>
        </w:rPr>
      </w:pPr>
      <w:r w:rsidRPr="00530E4F">
        <w:rPr>
          <w:rFonts w:ascii="Segoe UI" w:eastAsia="Times New Roman" w:hAnsi="Segoe UI" w:cs="Segoe UI"/>
          <w:b/>
          <w:bCs/>
          <w:i/>
          <w:iCs/>
          <w:color w:val="000000"/>
          <w:szCs w:val="24"/>
          <w:lang w:eastAsia="es-CO"/>
        </w:rPr>
        <w:t>1. ¿Es procedente que un departamento de aplicación al artículo 91 de la ley 2277 del 13 de diciembre de 2022 “por medio de la cual se adopta una reforma tributaria para la igualdad y la justicia social y se dictan otras disposiciones”?</w:t>
      </w:r>
    </w:p>
    <w:p w14:paraId="12628374" w14:textId="77777777" w:rsidR="00530E4F" w:rsidRPr="00530E4F" w:rsidRDefault="00530E4F" w:rsidP="00530E4F">
      <w:pPr>
        <w:spacing w:after="0" w:line="360" w:lineRule="auto"/>
        <w:jc w:val="both"/>
        <w:rPr>
          <w:rFonts w:ascii="Segoe UI" w:eastAsia="Times New Roman" w:hAnsi="Segoe UI" w:cs="Segoe UI"/>
          <w:color w:val="000000"/>
          <w:szCs w:val="24"/>
          <w:lang w:eastAsia="es-CO"/>
        </w:rPr>
      </w:pPr>
      <w:r w:rsidRPr="00530E4F">
        <w:rPr>
          <w:rFonts w:ascii="Segoe UI" w:eastAsia="Times New Roman" w:hAnsi="Segoe UI" w:cs="Segoe UI"/>
          <w:color w:val="000000"/>
          <w:szCs w:val="24"/>
          <w:lang w:eastAsia="es-CO"/>
        </w:rPr>
        <w:lastRenderedPageBreak/>
        <w:t> </w:t>
      </w:r>
    </w:p>
    <w:p w14:paraId="6859A725" w14:textId="77777777" w:rsidR="00530E4F" w:rsidRPr="00530E4F" w:rsidRDefault="00530E4F" w:rsidP="00530E4F">
      <w:pPr>
        <w:spacing w:after="0" w:line="360" w:lineRule="auto"/>
        <w:jc w:val="both"/>
        <w:rPr>
          <w:rFonts w:ascii="Segoe UI" w:eastAsia="Times New Roman" w:hAnsi="Segoe UI" w:cs="Segoe UI"/>
          <w:color w:val="000000"/>
          <w:szCs w:val="24"/>
          <w:lang w:eastAsia="es-CO"/>
        </w:rPr>
      </w:pPr>
      <w:r w:rsidRPr="00530E4F">
        <w:rPr>
          <w:rFonts w:ascii="Segoe UI" w:eastAsia="Times New Roman" w:hAnsi="Segoe UI" w:cs="Segoe UI"/>
          <w:color w:val="000000"/>
          <w:szCs w:val="24"/>
          <w:lang w:eastAsia="es-CO"/>
        </w:rPr>
        <w:t>Al efecto, el artículo 91 de la Ley 2277 de 2022, establece:</w:t>
      </w:r>
    </w:p>
    <w:p w14:paraId="526E2483" w14:textId="77777777" w:rsidR="00530E4F" w:rsidRPr="00530E4F" w:rsidRDefault="00530E4F" w:rsidP="00530E4F">
      <w:pPr>
        <w:spacing w:after="0" w:line="360" w:lineRule="auto"/>
        <w:jc w:val="both"/>
        <w:rPr>
          <w:rFonts w:ascii="Segoe UI" w:eastAsia="Times New Roman" w:hAnsi="Segoe UI" w:cs="Segoe UI"/>
          <w:color w:val="000000"/>
          <w:szCs w:val="24"/>
          <w:lang w:eastAsia="es-CO"/>
        </w:rPr>
      </w:pPr>
      <w:r w:rsidRPr="00530E4F">
        <w:rPr>
          <w:rFonts w:ascii="Segoe UI" w:eastAsia="Times New Roman" w:hAnsi="Segoe UI" w:cs="Segoe UI"/>
          <w:color w:val="000000"/>
          <w:szCs w:val="24"/>
          <w:lang w:eastAsia="es-CO"/>
        </w:rPr>
        <w:t> </w:t>
      </w:r>
    </w:p>
    <w:p w14:paraId="667B88E8" w14:textId="77777777" w:rsidR="00530E4F" w:rsidRPr="00530E4F" w:rsidRDefault="00530E4F" w:rsidP="00530E4F">
      <w:pPr>
        <w:spacing w:after="0" w:line="360" w:lineRule="auto"/>
        <w:ind w:left="284"/>
        <w:jc w:val="both"/>
        <w:rPr>
          <w:rFonts w:ascii="Segoe UI" w:eastAsia="Times New Roman" w:hAnsi="Segoe UI" w:cs="Segoe UI"/>
          <w:color w:val="000000"/>
          <w:szCs w:val="24"/>
          <w:lang w:eastAsia="es-CO"/>
        </w:rPr>
      </w:pPr>
      <w:r w:rsidRPr="00530E4F">
        <w:rPr>
          <w:rFonts w:ascii="Segoe UI" w:eastAsia="Times New Roman" w:hAnsi="Segoe UI" w:cs="Segoe UI"/>
          <w:color w:val="000000"/>
          <w:szCs w:val="24"/>
          <w:lang w:eastAsia="es-CO"/>
        </w:rPr>
        <w:t>“Artículo 91. Tasa de interés moratoria transitoria. Para las obligaciones tributarias y aduaneras que se paguen totalmente hasta el treinta (30) de junio de 2023, y para las facilidades o acuerdos para el pago de que trata el </w:t>
      </w:r>
      <w:hyperlink r:id="rId5" w:tooltip="Estatuto Tributario CETA" w:history="1">
        <w:r w:rsidRPr="00530E4F">
          <w:rPr>
            <w:rFonts w:ascii="Segoe UI" w:eastAsia="Times New Roman" w:hAnsi="Segoe UI" w:cs="Segoe UI"/>
            <w:color w:val="0645AD"/>
            <w:szCs w:val="24"/>
            <w:u w:val="single"/>
            <w:lang w:eastAsia="es-CO"/>
          </w:rPr>
          <w:t>artículo 814</w:t>
        </w:r>
      </w:hyperlink>
      <w:r w:rsidRPr="00530E4F">
        <w:rPr>
          <w:rFonts w:ascii="Segoe UI" w:eastAsia="Times New Roman" w:hAnsi="Segoe UI" w:cs="Segoe UI"/>
          <w:color w:val="000000"/>
          <w:szCs w:val="24"/>
          <w:lang w:eastAsia="es-CO"/>
        </w:rPr>
        <w:t> del Estatuto Tributario que se suscriban a partir de la entrada en vigencia de la presente Ley y hasta el treinta (30) de junio de 2023, </w:t>
      </w:r>
      <w:r w:rsidRPr="00530E4F">
        <w:rPr>
          <w:rFonts w:ascii="Segoe UI" w:eastAsia="Times New Roman" w:hAnsi="Segoe UI" w:cs="Segoe UI"/>
          <w:b/>
          <w:bCs/>
          <w:color w:val="000000"/>
          <w:szCs w:val="24"/>
          <w:u w:val="single"/>
          <w:lang w:eastAsia="es-CO"/>
        </w:rPr>
        <w:t>la tasa de interés de mora será equivalente al cincuenta por ciento (50%) de la tasa de interés establecida en el </w:t>
      </w:r>
      <w:hyperlink r:id="rId6" w:tooltip="Estatuto Tributario CETA" w:history="1">
        <w:r w:rsidRPr="00530E4F">
          <w:rPr>
            <w:rFonts w:ascii="Segoe UI" w:eastAsia="Times New Roman" w:hAnsi="Segoe UI" w:cs="Segoe UI"/>
            <w:b/>
            <w:bCs/>
            <w:color w:val="0645AD"/>
            <w:szCs w:val="24"/>
            <w:u w:val="single"/>
            <w:lang w:eastAsia="es-CO"/>
          </w:rPr>
          <w:t>artículo 635</w:t>
        </w:r>
      </w:hyperlink>
      <w:r w:rsidRPr="00530E4F">
        <w:rPr>
          <w:rFonts w:ascii="Segoe UI" w:eastAsia="Times New Roman" w:hAnsi="Segoe UI" w:cs="Segoe UI"/>
          <w:b/>
          <w:bCs/>
          <w:color w:val="000000"/>
          <w:szCs w:val="24"/>
          <w:u w:val="single"/>
          <w:lang w:eastAsia="es-CO"/>
        </w:rPr>
        <w:t> del Estatuto Tributario</w:t>
      </w:r>
      <w:r w:rsidRPr="00530E4F">
        <w:rPr>
          <w:rFonts w:ascii="Segoe UI" w:eastAsia="Times New Roman" w:hAnsi="Segoe UI" w:cs="Segoe UI"/>
          <w:color w:val="000000"/>
          <w:szCs w:val="24"/>
          <w:lang w:eastAsia="es-CO"/>
        </w:rPr>
        <w:t xml:space="preserve">. La solicitud para la suscripción de las facilidades o acuerdos para el pago de que trata el presente artículo deberá ser radicada a más tardar el quince (15) de mayo de 2023. Para los efectos de este artículo será válido cualquier medio de pago, incluida la compensación de los saldos a favor que se generen entre la fecha de </w:t>
      </w:r>
      <w:proofErr w:type="gramStart"/>
      <w:r w:rsidRPr="00530E4F">
        <w:rPr>
          <w:rFonts w:ascii="Segoe UI" w:eastAsia="Times New Roman" w:hAnsi="Segoe UI" w:cs="Segoe UI"/>
          <w:color w:val="000000"/>
          <w:szCs w:val="24"/>
          <w:lang w:eastAsia="es-CO"/>
        </w:rPr>
        <w:t>entrada en vigencia</w:t>
      </w:r>
      <w:proofErr w:type="gramEnd"/>
      <w:r w:rsidRPr="00530E4F">
        <w:rPr>
          <w:rFonts w:ascii="Segoe UI" w:eastAsia="Times New Roman" w:hAnsi="Segoe UI" w:cs="Segoe UI"/>
          <w:color w:val="000000"/>
          <w:szCs w:val="24"/>
          <w:lang w:eastAsia="es-CO"/>
        </w:rPr>
        <w:t xml:space="preserve"> de la presente ley y el treinta (30) de junio de 2023”. (Énfasis añadido)</w:t>
      </w:r>
    </w:p>
    <w:p w14:paraId="2C402BE3" w14:textId="77777777" w:rsidR="00530E4F" w:rsidRPr="00530E4F" w:rsidRDefault="00530E4F" w:rsidP="00530E4F">
      <w:pPr>
        <w:spacing w:after="0" w:line="360" w:lineRule="auto"/>
        <w:jc w:val="both"/>
        <w:rPr>
          <w:rFonts w:ascii="Segoe UI" w:eastAsia="Times New Roman" w:hAnsi="Segoe UI" w:cs="Segoe UI"/>
          <w:color w:val="000000"/>
          <w:szCs w:val="24"/>
          <w:lang w:eastAsia="es-CO"/>
        </w:rPr>
      </w:pPr>
      <w:r w:rsidRPr="00530E4F">
        <w:rPr>
          <w:rFonts w:ascii="Segoe UI" w:eastAsia="Times New Roman" w:hAnsi="Segoe UI" w:cs="Segoe UI"/>
          <w:color w:val="000000"/>
          <w:szCs w:val="24"/>
          <w:lang w:eastAsia="es-CO"/>
        </w:rPr>
        <w:t> </w:t>
      </w:r>
    </w:p>
    <w:p w14:paraId="34E063C1" w14:textId="77777777" w:rsidR="00530E4F" w:rsidRPr="00530E4F" w:rsidRDefault="00530E4F" w:rsidP="00530E4F">
      <w:pPr>
        <w:spacing w:after="0" w:line="360" w:lineRule="auto"/>
        <w:jc w:val="both"/>
        <w:rPr>
          <w:rFonts w:ascii="Segoe UI" w:eastAsia="Times New Roman" w:hAnsi="Segoe UI" w:cs="Segoe UI"/>
          <w:color w:val="000000"/>
          <w:szCs w:val="24"/>
          <w:lang w:eastAsia="es-CO"/>
        </w:rPr>
      </w:pPr>
      <w:r w:rsidRPr="00530E4F">
        <w:rPr>
          <w:rFonts w:ascii="Segoe UI" w:eastAsia="Times New Roman" w:hAnsi="Segoe UI" w:cs="Segoe UI"/>
          <w:color w:val="000000"/>
          <w:szCs w:val="24"/>
          <w:lang w:eastAsia="es-CO"/>
        </w:rPr>
        <w:t>Nótese como la norma trascrita establece una tasa de interés de carácter transitorio aplicable a obligaciones tributarias que se paguen totalmente hasta el 30 de junio de 2023, y para facilidades de pago que se suscriban a partir de su vigencia y hasta el 30 de junio de 2023, de lo que se desprende que se trata en suma de obligaciones que se encuentren pendientes de pago. Ahora bien, la norma no establece ningún criterio temporal de aplicación respecto de la obligación pendiente de pago, de lo que se desprende que se tratará de obligaciones cuya mora se haya causado antes de su vigencia, así como aquellas cuya mora se cause después de su vigencia y hasta la finalización de la transición, esto es 30 de junio de 2023, excepción hecha de aquellas incorporadas en facilidades de pago en cuyo caso, a nuestro juicio la mora deberá causarse como máximo a 15 de mayo de 2023 (fecha máxima de radicación de la solicitud de facilidad).</w:t>
      </w:r>
    </w:p>
    <w:p w14:paraId="1F5FB71C" w14:textId="77777777" w:rsidR="00530E4F" w:rsidRPr="00530E4F" w:rsidRDefault="00530E4F" w:rsidP="00530E4F">
      <w:pPr>
        <w:spacing w:after="0" w:line="360" w:lineRule="auto"/>
        <w:jc w:val="both"/>
        <w:rPr>
          <w:rFonts w:ascii="Segoe UI" w:eastAsia="Times New Roman" w:hAnsi="Segoe UI" w:cs="Segoe UI"/>
          <w:color w:val="000000"/>
          <w:szCs w:val="24"/>
          <w:lang w:eastAsia="es-CO"/>
        </w:rPr>
      </w:pPr>
      <w:r w:rsidRPr="00530E4F">
        <w:rPr>
          <w:rFonts w:ascii="Segoe UI" w:eastAsia="Times New Roman" w:hAnsi="Segoe UI" w:cs="Segoe UI"/>
          <w:color w:val="000000"/>
          <w:szCs w:val="24"/>
          <w:lang w:eastAsia="es-CO"/>
        </w:rPr>
        <w:t> </w:t>
      </w:r>
    </w:p>
    <w:p w14:paraId="36007867" w14:textId="77777777" w:rsidR="00530E4F" w:rsidRPr="00530E4F" w:rsidRDefault="00530E4F" w:rsidP="00530E4F">
      <w:pPr>
        <w:spacing w:after="0" w:line="360" w:lineRule="auto"/>
        <w:jc w:val="both"/>
        <w:rPr>
          <w:rFonts w:ascii="Segoe UI" w:eastAsia="Times New Roman" w:hAnsi="Segoe UI" w:cs="Segoe UI"/>
          <w:color w:val="000000"/>
          <w:szCs w:val="24"/>
          <w:lang w:eastAsia="es-CO"/>
        </w:rPr>
      </w:pPr>
      <w:r w:rsidRPr="00530E4F">
        <w:rPr>
          <w:rFonts w:ascii="Segoe UI" w:eastAsia="Times New Roman" w:hAnsi="Segoe UI" w:cs="Segoe UI"/>
          <w:color w:val="000000"/>
          <w:szCs w:val="24"/>
          <w:lang w:eastAsia="es-CO"/>
        </w:rPr>
        <w:t>En lo que hace a la aplicación de la norma por parte de las entidades territoriales, debe tenerse presente lo siguiente:</w:t>
      </w:r>
    </w:p>
    <w:p w14:paraId="4B17C8FB" w14:textId="77777777" w:rsidR="00530E4F" w:rsidRPr="00530E4F" w:rsidRDefault="00530E4F" w:rsidP="00530E4F">
      <w:pPr>
        <w:spacing w:after="0" w:line="360" w:lineRule="auto"/>
        <w:jc w:val="both"/>
        <w:rPr>
          <w:rFonts w:ascii="Segoe UI" w:eastAsia="Times New Roman" w:hAnsi="Segoe UI" w:cs="Segoe UI"/>
          <w:color w:val="000000"/>
          <w:szCs w:val="24"/>
          <w:lang w:eastAsia="es-CO"/>
        </w:rPr>
      </w:pPr>
      <w:r w:rsidRPr="00530E4F">
        <w:rPr>
          <w:rFonts w:ascii="Segoe UI" w:eastAsia="Times New Roman" w:hAnsi="Segoe UI" w:cs="Segoe UI"/>
          <w:color w:val="000000"/>
          <w:szCs w:val="24"/>
          <w:lang w:eastAsia="es-CO"/>
        </w:rPr>
        <w:t> </w:t>
      </w:r>
    </w:p>
    <w:p w14:paraId="36021F1F" w14:textId="2F8D3DF8" w:rsidR="00530E4F" w:rsidRPr="00530E4F" w:rsidRDefault="00530E4F" w:rsidP="00530E4F">
      <w:pPr>
        <w:numPr>
          <w:ilvl w:val="0"/>
          <w:numId w:val="9"/>
        </w:numPr>
        <w:spacing w:before="100" w:beforeAutospacing="1" w:after="100" w:afterAutospacing="1" w:line="360" w:lineRule="auto"/>
        <w:ind w:left="1080" w:firstLine="0"/>
        <w:jc w:val="both"/>
        <w:rPr>
          <w:rFonts w:ascii="Segoe UI" w:eastAsia="Times New Roman" w:hAnsi="Segoe UI" w:cs="Segoe UI"/>
          <w:color w:val="000000"/>
          <w:szCs w:val="24"/>
          <w:lang w:eastAsia="es-CO"/>
        </w:rPr>
      </w:pPr>
      <w:r w:rsidRPr="00530E4F">
        <w:rPr>
          <w:rFonts w:ascii="Segoe UI" w:eastAsia="Times New Roman" w:hAnsi="Segoe UI" w:cs="Segoe UI"/>
          <w:color w:val="000000"/>
          <w:szCs w:val="24"/>
          <w:lang w:eastAsia="es-CO"/>
        </w:rPr>
        <w:t>El artículo 91 de la Ley 2277 de 2022, modifica transitoriamente la tasa de interés de mora del </w:t>
      </w:r>
      <w:hyperlink r:id="rId7" w:tooltip="Estatuto Tributario CETA" w:history="1">
        <w:r w:rsidRPr="00530E4F">
          <w:rPr>
            <w:rFonts w:ascii="Segoe UI" w:eastAsia="Times New Roman" w:hAnsi="Segoe UI" w:cs="Segoe UI"/>
            <w:color w:val="0645AD"/>
            <w:szCs w:val="24"/>
            <w:u w:val="single"/>
            <w:lang w:eastAsia="es-CO"/>
          </w:rPr>
          <w:t>artículo 635</w:t>
        </w:r>
      </w:hyperlink>
      <w:r w:rsidRPr="00530E4F">
        <w:rPr>
          <w:rFonts w:ascii="Segoe UI" w:eastAsia="Times New Roman" w:hAnsi="Segoe UI" w:cs="Segoe UI"/>
          <w:color w:val="000000"/>
          <w:szCs w:val="24"/>
          <w:lang w:eastAsia="es-CO"/>
        </w:rPr>
        <w:t> del Estatuto Tributario Nacional, para aquellas obligaciones que cumplan con las condiciones de pago establecidas en aquella.</w:t>
      </w:r>
    </w:p>
    <w:p w14:paraId="20243007" w14:textId="3611C91B" w:rsidR="00530E4F" w:rsidRPr="00530E4F" w:rsidRDefault="00530E4F" w:rsidP="00530E4F">
      <w:pPr>
        <w:numPr>
          <w:ilvl w:val="0"/>
          <w:numId w:val="10"/>
        </w:numPr>
        <w:spacing w:before="100" w:beforeAutospacing="1" w:after="100" w:afterAutospacing="1" w:line="360" w:lineRule="auto"/>
        <w:ind w:left="1080" w:firstLine="0"/>
        <w:jc w:val="both"/>
        <w:rPr>
          <w:rFonts w:ascii="Segoe UI" w:eastAsia="Times New Roman" w:hAnsi="Segoe UI" w:cs="Segoe UI"/>
          <w:color w:val="000000"/>
          <w:szCs w:val="24"/>
          <w:lang w:eastAsia="es-CO"/>
        </w:rPr>
      </w:pPr>
      <w:r w:rsidRPr="00530E4F">
        <w:rPr>
          <w:rFonts w:ascii="Segoe UI" w:eastAsia="Times New Roman" w:hAnsi="Segoe UI" w:cs="Segoe UI"/>
          <w:color w:val="000000"/>
          <w:szCs w:val="24"/>
          <w:lang w:eastAsia="es-CO"/>
        </w:rPr>
        <w:lastRenderedPageBreak/>
        <w:t>El artículo 91 de la Ley 2277 de 2022 se refiere de manera general a “</w:t>
      </w:r>
      <w:r w:rsidRPr="00530E4F">
        <w:rPr>
          <w:rFonts w:ascii="Segoe UI" w:eastAsia="Times New Roman" w:hAnsi="Segoe UI" w:cs="Segoe UI"/>
          <w:i/>
          <w:iCs/>
          <w:color w:val="000000"/>
          <w:szCs w:val="24"/>
          <w:lang w:eastAsia="es-CO"/>
        </w:rPr>
        <w:t>las obligaciones tributarias y aduaneras</w:t>
      </w:r>
      <w:r w:rsidRPr="00530E4F">
        <w:rPr>
          <w:rFonts w:ascii="Segoe UI" w:eastAsia="Times New Roman" w:hAnsi="Segoe UI" w:cs="Segoe UI"/>
          <w:color w:val="000000"/>
          <w:szCs w:val="24"/>
          <w:lang w:eastAsia="es-CO"/>
        </w:rPr>
        <w:t>” sin limitarlo de manera expresa a obligaciones tributarias del orden nacional.</w:t>
      </w:r>
    </w:p>
    <w:p w14:paraId="413475A6" w14:textId="40A3339C" w:rsidR="00530E4F" w:rsidRPr="00530E4F" w:rsidRDefault="00530E4F" w:rsidP="00530E4F">
      <w:pPr>
        <w:numPr>
          <w:ilvl w:val="0"/>
          <w:numId w:val="11"/>
        </w:numPr>
        <w:spacing w:before="100" w:beforeAutospacing="1" w:after="100" w:afterAutospacing="1" w:line="360" w:lineRule="auto"/>
        <w:ind w:left="1080" w:firstLine="0"/>
        <w:jc w:val="both"/>
        <w:rPr>
          <w:rFonts w:ascii="Segoe UI" w:eastAsia="Times New Roman" w:hAnsi="Segoe UI" w:cs="Segoe UI"/>
          <w:color w:val="000000"/>
          <w:szCs w:val="24"/>
          <w:highlight w:val="yellow"/>
          <w:lang w:eastAsia="es-CO"/>
        </w:rPr>
      </w:pPr>
      <w:r w:rsidRPr="00530E4F">
        <w:rPr>
          <w:rFonts w:ascii="Segoe UI" w:eastAsia="Times New Roman" w:hAnsi="Segoe UI" w:cs="Segoe UI"/>
          <w:color w:val="000000"/>
          <w:szCs w:val="24"/>
          <w:highlight w:val="yellow"/>
          <w:lang w:eastAsia="es-CO"/>
        </w:rPr>
        <w:t>De conformidad con el parágrafo del </w:t>
      </w:r>
      <w:hyperlink r:id="rId8" w:tooltip="Estatuto Tributario CETA" w:history="1">
        <w:r w:rsidRPr="00530E4F">
          <w:rPr>
            <w:rFonts w:ascii="Segoe UI" w:eastAsia="Times New Roman" w:hAnsi="Segoe UI" w:cs="Segoe UI"/>
            <w:color w:val="0645AD"/>
            <w:szCs w:val="24"/>
            <w:highlight w:val="yellow"/>
            <w:u w:val="single"/>
            <w:lang w:eastAsia="es-CO"/>
          </w:rPr>
          <w:t>artículo 635</w:t>
        </w:r>
      </w:hyperlink>
      <w:r w:rsidRPr="00530E4F">
        <w:rPr>
          <w:rFonts w:ascii="Segoe UI" w:eastAsia="Times New Roman" w:hAnsi="Segoe UI" w:cs="Segoe UI"/>
          <w:color w:val="000000"/>
          <w:szCs w:val="24"/>
          <w:highlight w:val="yellow"/>
          <w:lang w:eastAsia="es-CO"/>
        </w:rPr>
        <w:t> del Estatuto Tributario Nacional, que regula la determinación de la tasa de interés moratorio, establece expresamente que “</w:t>
      </w:r>
      <w:r w:rsidRPr="00530E4F">
        <w:rPr>
          <w:rFonts w:ascii="Segoe UI" w:eastAsia="Times New Roman" w:hAnsi="Segoe UI" w:cs="Segoe UI"/>
          <w:b/>
          <w:bCs/>
          <w:i/>
          <w:iCs/>
          <w:color w:val="000000"/>
          <w:szCs w:val="24"/>
          <w:highlight w:val="yellow"/>
          <w:u w:val="single"/>
          <w:lang w:eastAsia="es-CO"/>
        </w:rPr>
        <w:t>Lo previsto en este artículo</w:t>
      </w:r>
      <w:r w:rsidRPr="00530E4F">
        <w:rPr>
          <w:rFonts w:ascii="Segoe UI" w:eastAsia="Times New Roman" w:hAnsi="Segoe UI" w:cs="Segoe UI"/>
          <w:b/>
          <w:bCs/>
          <w:i/>
          <w:iCs/>
          <w:color w:val="000000"/>
          <w:szCs w:val="24"/>
          <w:highlight w:val="yellow"/>
          <w:lang w:eastAsia="es-CO"/>
        </w:rPr>
        <w:t> </w:t>
      </w:r>
      <w:r w:rsidRPr="00530E4F">
        <w:rPr>
          <w:rFonts w:ascii="Segoe UI" w:eastAsia="Times New Roman" w:hAnsi="Segoe UI" w:cs="Segoe UI"/>
          <w:i/>
          <w:iCs/>
          <w:color w:val="000000"/>
          <w:szCs w:val="24"/>
          <w:highlight w:val="yellow"/>
          <w:lang w:eastAsia="es-CO"/>
        </w:rPr>
        <w:t>y en el </w:t>
      </w:r>
      <w:hyperlink r:id="rId9" w:tooltip="Estatuto Tributario CETA" w:history="1">
        <w:r w:rsidRPr="00530E4F">
          <w:rPr>
            <w:rFonts w:ascii="Segoe UI" w:eastAsia="Times New Roman" w:hAnsi="Segoe UI" w:cs="Segoe UI"/>
            <w:i/>
            <w:iCs/>
            <w:color w:val="0645AD"/>
            <w:szCs w:val="24"/>
            <w:highlight w:val="yellow"/>
            <w:u w:val="single"/>
            <w:lang w:eastAsia="es-CO"/>
          </w:rPr>
          <w:t>artículo 867-1</w:t>
        </w:r>
      </w:hyperlink>
      <w:r w:rsidRPr="00530E4F">
        <w:rPr>
          <w:rFonts w:ascii="Segoe UI" w:eastAsia="Times New Roman" w:hAnsi="Segoe UI" w:cs="Segoe UI"/>
          <w:i/>
          <w:iCs/>
          <w:color w:val="000000"/>
          <w:szCs w:val="24"/>
          <w:highlight w:val="yellow"/>
          <w:lang w:eastAsia="es-CO"/>
        </w:rPr>
        <w:t> </w:t>
      </w:r>
      <w:r w:rsidRPr="00530E4F">
        <w:rPr>
          <w:rFonts w:ascii="Segoe UI" w:eastAsia="Times New Roman" w:hAnsi="Segoe UI" w:cs="Segoe UI"/>
          <w:b/>
          <w:bCs/>
          <w:i/>
          <w:iCs/>
          <w:color w:val="000000"/>
          <w:szCs w:val="24"/>
          <w:highlight w:val="yellow"/>
          <w:u w:val="single"/>
          <w:lang w:eastAsia="es-CO"/>
        </w:rPr>
        <w:t>tendrá efectos en relación con los impuestos</w:t>
      </w:r>
      <w:r w:rsidRPr="00530E4F">
        <w:rPr>
          <w:rFonts w:ascii="Segoe UI" w:eastAsia="Times New Roman" w:hAnsi="Segoe UI" w:cs="Segoe UI"/>
          <w:b/>
          <w:bCs/>
          <w:i/>
          <w:iCs/>
          <w:color w:val="000000"/>
          <w:szCs w:val="24"/>
          <w:highlight w:val="yellow"/>
          <w:lang w:eastAsia="es-CO"/>
        </w:rPr>
        <w:t> </w:t>
      </w:r>
      <w:r w:rsidRPr="00530E4F">
        <w:rPr>
          <w:rFonts w:ascii="Segoe UI" w:eastAsia="Times New Roman" w:hAnsi="Segoe UI" w:cs="Segoe UI"/>
          <w:i/>
          <w:iCs/>
          <w:color w:val="000000"/>
          <w:szCs w:val="24"/>
          <w:highlight w:val="yellow"/>
          <w:lang w:eastAsia="es-CO"/>
        </w:rPr>
        <w:t>nacionales, </w:t>
      </w:r>
      <w:r w:rsidRPr="00530E4F">
        <w:rPr>
          <w:rFonts w:ascii="Segoe UI" w:eastAsia="Times New Roman" w:hAnsi="Segoe UI" w:cs="Segoe UI"/>
          <w:b/>
          <w:bCs/>
          <w:i/>
          <w:iCs/>
          <w:color w:val="000000"/>
          <w:szCs w:val="24"/>
          <w:highlight w:val="yellow"/>
          <w:u w:val="single"/>
          <w:lang w:eastAsia="es-CO"/>
        </w:rPr>
        <w:t>departamentales, municipales y distritales</w:t>
      </w:r>
      <w:r w:rsidRPr="00530E4F">
        <w:rPr>
          <w:rFonts w:ascii="Segoe UI" w:eastAsia="Times New Roman" w:hAnsi="Segoe UI" w:cs="Segoe UI"/>
          <w:color w:val="000000"/>
          <w:szCs w:val="24"/>
          <w:highlight w:val="yellow"/>
          <w:lang w:eastAsia="es-CO"/>
        </w:rPr>
        <w:t>”, de manera que se trata de una norma de imperativa aplicación por parte de las entidades territoriales.</w:t>
      </w:r>
    </w:p>
    <w:p w14:paraId="14922ABD" w14:textId="77777777" w:rsidR="00530E4F" w:rsidRPr="00530E4F" w:rsidRDefault="00530E4F" w:rsidP="00530E4F">
      <w:pPr>
        <w:numPr>
          <w:ilvl w:val="0"/>
          <w:numId w:val="12"/>
        </w:numPr>
        <w:spacing w:before="100" w:beforeAutospacing="1" w:after="100" w:afterAutospacing="1" w:line="360" w:lineRule="auto"/>
        <w:ind w:left="1080" w:firstLine="0"/>
        <w:jc w:val="both"/>
        <w:rPr>
          <w:rFonts w:ascii="Segoe UI" w:eastAsia="Times New Roman" w:hAnsi="Segoe UI" w:cs="Segoe UI"/>
          <w:color w:val="000000"/>
          <w:szCs w:val="24"/>
          <w:highlight w:val="yellow"/>
          <w:lang w:eastAsia="es-CO"/>
        </w:rPr>
      </w:pPr>
      <w:r w:rsidRPr="00530E4F">
        <w:rPr>
          <w:rFonts w:ascii="Segoe UI" w:eastAsia="Times New Roman" w:hAnsi="Segoe UI" w:cs="Segoe UI"/>
          <w:color w:val="000000"/>
          <w:szCs w:val="24"/>
          <w:highlight w:val="yellow"/>
          <w:lang w:eastAsia="es-CO"/>
        </w:rPr>
        <w:t>En línea con lo anterior, el artículo 3° de la Ley 1066 de 2006, establece que “</w:t>
      </w:r>
      <w:r w:rsidRPr="00530E4F">
        <w:rPr>
          <w:rFonts w:ascii="Segoe UI" w:eastAsia="Times New Roman" w:hAnsi="Segoe UI" w:cs="Segoe UI"/>
          <w:b/>
          <w:bCs/>
          <w:i/>
          <w:iCs/>
          <w:color w:val="000000"/>
          <w:szCs w:val="24"/>
          <w:highlight w:val="yellow"/>
          <w:u w:val="single"/>
          <w:lang w:eastAsia="es-CO"/>
        </w:rPr>
        <w:t>los contribuyentes o responsables</w:t>
      </w:r>
      <w:r w:rsidRPr="00530E4F">
        <w:rPr>
          <w:rFonts w:ascii="Segoe UI" w:eastAsia="Times New Roman" w:hAnsi="Segoe UI" w:cs="Segoe UI"/>
          <w:b/>
          <w:bCs/>
          <w:i/>
          <w:iCs/>
          <w:color w:val="000000"/>
          <w:szCs w:val="24"/>
          <w:highlight w:val="yellow"/>
          <w:lang w:eastAsia="es-CO"/>
        </w:rPr>
        <w:t> </w:t>
      </w:r>
      <w:r w:rsidRPr="00530E4F">
        <w:rPr>
          <w:rFonts w:ascii="Segoe UI" w:eastAsia="Times New Roman" w:hAnsi="Segoe UI" w:cs="Segoe UI"/>
          <w:i/>
          <w:iCs/>
          <w:color w:val="000000"/>
          <w:szCs w:val="24"/>
          <w:highlight w:val="yellow"/>
          <w:lang w:eastAsia="es-CO"/>
        </w:rPr>
        <w:t>de las tasas, contribuciones fiscales y contribuciones parafiscales que no las cancelen oportunamente deberán liquidar y pagar intereses moratorios </w:t>
      </w:r>
      <w:r w:rsidRPr="00530E4F">
        <w:rPr>
          <w:rFonts w:ascii="Segoe UI" w:eastAsia="Times New Roman" w:hAnsi="Segoe UI" w:cs="Segoe UI"/>
          <w:b/>
          <w:bCs/>
          <w:i/>
          <w:iCs/>
          <w:color w:val="000000"/>
          <w:szCs w:val="24"/>
          <w:highlight w:val="yellow"/>
          <w:u w:val="single"/>
          <w:lang w:eastAsia="es-CO"/>
        </w:rPr>
        <w:t>a la tasa prevista en el Estatuto Tributario</w:t>
      </w:r>
      <w:r w:rsidRPr="00530E4F">
        <w:rPr>
          <w:rFonts w:ascii="Segoe UI" w:eastAsia="Times New Roman" w:hAnsi="Segoe UI" w:cs="Segoe UI"/>
          <w:color w:val="000000"/>
          <w:szCs w:val="24"/>
          <w:highlight w:val="yellow"/>
          <w:lang w:eastAsia="es-CO"/>
        </w:rPr>
        <w:t>”.</w:t>
      </w:r>
    </w:p>
    <w:p w14:paraId="467E486F" w14:textId="77777777" w:rsidR="00530E4F" w:rsidRPr="00530E4F" w:rsidRDefault="00530E4F" w:rsidP="00530E4F">
      <w:pPr>
        <w:spacing w:after="0" w:line="360" w:lineRule="auto"/>
        <w:jc w:val="both"/>
        <w:rPr>
          <w:rFonts w:ascii="Segoe UI" w:eastAsia="Times New Roman" w:hAnsi="Segoe UI" w:cs="Segoe UI"/>
          <w:color w:val="000000"/>
          <w:szCs w:val="24"/>
          <w:lang w:eastAsia="es-CO"/>
        </w:rPr>
      </w:pPr>
      <w:r w:rsidRPr="00530E4F">
        <w:rPr>
          <w:rFonts w:ascii="Segoe UI" w:eastAsia="Times New Roman" w:hAnsi="Segoe UI" w:cs="Segoe UI"/>
          <w:color w:val="000000"/>
          <w:szCs w:val="24"/>
          <w:lang w:eastAsia="es-CO"/>
        </w:rPr>
        <w:t> </w:t>
      </w:r>
    </w:p>
    <w:p w14:paraId="75ADB7DE" w14:textId="77777777" w:rsidR="00530E4F" w:rsidRPr="00530E4F" w:rsidRDefault="00530E4F" w:rsidP="00530E4F">
      <w:pPr>
        <w:spacing w:after="0" w:line="360" w:lineRule="auto"/>
        <w:jc w:val="both"/>
        <w:rPr>
          <w:rFonts w:ascii="Segoe UI" w:eastAsia="Times New Roman" w:hAnsi="Segoe UI" w:cs="Segoe UI"/>
          <w:color w:val="000000"/>
          <w:szCs w:val="24"/>
          <w:lang w:eastAsia="es-CO"/>
        </w:rPr>
      </w:pPr>
      <w:r w:rsidRPr="00530E4F">
        <w:rPr>
          <w:rFonts w:ascii="Segoe UI" w:eastAsia="Times New Roman" w:hAnsi="Segoe UI" w:cs="Segoe UI"/>
          <w:color w:val="000000"/>
          <w:szCs w:val="24"/>
          <w:highlight w:val="yellow"/>
          <w:lang w:eastAsia="es-CO"/>
        </w:rPr>
        <w:t>Siendo ello de esa manera, habida consideración de la generalidad de la norma respecto de obligaciones tributarias, y de la imperativa remisión que a la determinación de la tasa de interés moratorio del Estatuto Tributario Nacional ordena su </w:t>
      </w:r>
      <w:hyperlink r:id="rId10" w:tooltip="Estatuto Tributario CETA" w:history="1">
        <w:r w:rsidRPr="00530E4F">
          <w:rPr>
            <w:rFonts w:ascii="Segoe UI" w:eastAsia="Times New Roman" w:hAnsi="Segoe UI" w:cs="Segoe UI"/>
            <w:color w:val="0645AD"/>
            <w:szCs w:val="24"/>
            <w:highlight w:val="yellow"/>
            <w:u w:val="single"/>
            <w:lang w:eastAsia="es-CO"/>
          </w:rPr>
          <w:t>artículo 635</w:t>
        </w:r>
      </w:hyperlink>
      <w:r w:rsidRPr="00530E4F">
        <w:rPr>
          <w:rFonts w:ascii="Segoe UI" w:eastAsia="Times New Roman" w:hAnsi="Segoe UI" w:cs="Segoe UI"/>
          <w:color w:val="000000"/>
          <w:szCs w:val="24"/>
          <w:highlight w:val="yellow"/>
          <w:lang w:eastAsia="es-CO"/>
        </w:rPr>
        <w:t> y la Ley 1066 de 2006, consideramos que lo normado en el artículo 93 de la Ley 2277 de 2022, opera por ministerio de la ley a las entidades territoriales, constituyéndose, de una parte, en una norma de imperativo cumplimiento para las administraciones territoriales, y; de otra, en un derecho que ampara a los contribuyentes. En consecuencia, al operar por ministerio de la ley, su aplicación por parte de las entidades territoriales </w:t>
      </w:r>
      <w:r w:rsidRPr="00530E4F">
        <w:rPr>
          <w:rFonts w:ascii="Segoe UI" w:eastAsia="Times New Roman" w:hAnsi="Segoe UI" w:cs="Segoe UI"/>
          <w:b/>
          <w:bCs/>
          <w:color w:val="000000"/>
          <w:szCs w:val="24"/>
          <w:highlight w:val="yellow"/>
          <w:lang w:eastAsia="es-CO"/>
        </w:rPr>
        <w:t>no </w:t>
      </w:r>
      <w:r w:rsidRPr="00530E4F">
        <w:rPr>
          <w:rFonts w:ascii="Segoe UI" w:eastAsia="Times New Roman" w:hAnsi="Segoe UI" w:cs="Segoe UI"/>
          <w:color w:val="000000"/>
          <w:szCs w:val="24"/>
          <w:highlight w:val="yellow"/>
          <w:lang w:eastAsia="es-CO"/>
        </w:rPr>
        <w:t>requiere de su adopción mediante acto administrativo de ninguna autoridad.</w:t>
      </w:r>
    </w:p>
    <w:p w14:paraId="2473AEEB" w14:textId="77777777" w:rsidR="00530E4F" w:rsidRPr="00530E4F" w:rsidRDefault="00530E4F" w:rsidP="00530E4F">
      <w:pPr>
        <w:spacing w:after="0" w:line="360" w:lineRule="auto"/>
        <w:jc w:val="both"/>
        <w:rPr>
          <w:rFonts w:ascii="Segoe UI" w:eastAsia="Times New Roman" w:hAnsi="Segoe UI" w:cs="Segoe UI"/>
          <w:color w:val="000000"/>
          <w:szCs w:val="24"/>
          <w:lang w:eastAsia="es-CO"/>
        </w:rPr>
      </w:pPr>
      <w:r w:rsidRPr="00530E4F">
        <w:rPr>
          <w:rFonts w:ascii="Segoe UI" w:eastAsia="Times New Roman" w:hAnsi="Segoe UI" w:cs="Segoe UI"/>
          <w:color w:val="000000"/>
          <w:szCs w:val="24"/>
          <w:lang w:eastAsia="es-CO"/>
        </w:rPr>
        <w:t> </w:t>
      </w:r>
    </w:p>
    <w:p w14:paraId="050A3D2C" w14:textId="77777777" w:rsidR="00530E4F" w:rsidRPr="00530E4F" w:rsidRDefault="00530E4F" w:rsidP="00530E4F">
      <w:pPr>
        <w:spacing w:after="0" w:line="360" w:lineRule="auto"/>
        <w:ind w:left="284"/>
        <w:jc w:val="both"/>
        <w:rPr>
          <w:rFonts w:ascii="Segoe UI" w:eastAsia="Times New Roman" w:hAnsi="Segoe UI" w:cs="Segoe UI"/>
          <w:color w:val="000000"/>
          <w:szCs w:val="24"/>
          <w:lang w:eastAsia="es-CO"/>
        </w:rPr>
      </w:pPr>
      <w:r w:rsidRPr="00530E4F">
        <w:rPr>
          <w:rFonts w:ascii="Segoe UI" w:eastAsia="Times New Roman" w:hAnsi="Segoe UI" w:cs="Segoe UI"/>
          <w:b/>
          <w:bCs/>
          <w:i/>
          <w:iCs/>
          <w:color w:val="000000"/>
          <w:szCs w:val="24"/>
          <w:highlight w:val="cyan"/>
          <w:lang w:eastAsia="es-CO"/>
        </w:rPr>
        <w:t>2. ¿Es procedente que un departamento de aplicación al artículo 93 de la ley 2277 del 13 de diciembre de 2022 “por medio de la cual se adopta una reforma tributaria para la igualdad y la justicia social y se dictan otras disposiciones”?</w:t>
      </w:r>
    </w:p>
    <w:p w14:paraId="74D9859E" w14:textId="77777777" w:rsidR="00530E4F" w:rsidRPr="00530E4F" w:rsidRDefault="00530E4F" w:rsidP="00530E4F">
      <w:pPr>
        <w:spacing w:after="0" w:line="360" w:lineRule="auto"/>
        <w:jc w:val="both"/>
        <w:rPr>
          <w:rFonts w:ascii="Segoe UI" w:eastAsia="Times New Roman" w:hAnsi="Segoe UI" w:cs="Segoe UI"/>
          <w:color w:val="000000"/>
          <w:szCs w:val="24"/>
          <w:lang w:eastAsia="es-CO"/>
        </w:rPr>
      </w:pPr>
      <w:r w:rsidRPr="00530E4F">
        <w:rPr>
          <w:rFonts w:ascii="Segoe UI" w:eastAsia="Times New Roman" w:hAnsi="Segoe UI" w:cs="Segoe UI"/>
          <w:color w:val="000000"/>
          <w:szCs w:val="24"/>
          <w:lang w:eastAsia="es-CO"/>
        </w:rPr>
        <w:t> </w:t>
      </w:r>
    </w:p>
    <w:p w14:paraId="57E7E6EC" w14:textId="77777777" w:rsidR="00530E4F" w:rsidRPr="00530E4F" w:rsidRDefault="00530E4F" w:rsidP="00530E4F">
      <w:pPr>
        <w:spacing w:after="0" w:line="360" w:lineRule="auto"/>
        <w:jc w:val="both"/>
        <w:rPr>
          <w:rFonts w:ascii="Segoe UI" w:eastAsia="Times New Roman" w:hAnsi="Segoe UI" w:cs="Segoe UI"/>
          <w:color w:val="000000"/>
          <w:szCs w:val="24"/>
          <w:lang w:eastAsia="es-CO"/>
        </w:rPr>
      </w:pPr>
      <w:r w:rsidRPr="00530E4F">
        <w:rPr>
          <w:rFonts w:ascii="Segoe UI" w:eastAsia="Times New Roman" w:hAnsi="Segoe UI" w:cs="Segoe UI"/>
          <w:color w:val="000000"/>
          <w:szCs w:val="24"/>
          <w:lang w:eastAsia="es-CO"/>
        </w:rPr>
        <w:t>Al efecto, el artículo 93 de la Ley 2277 de 2022, establece:</w:t>
      </w:r>
    </w:p>
    <w:p w14:paraId="7692D48E" w14:textId="77777777" w:rsidR="00530E4F" w:rsidRPr="00530E4F" w:rsidRDefault="00530E4F" w:rsidP="00530E4F">
      <w:pPr>
        <w:spacing w:after="0" w:line="360" w:lineRule="auto"/>
        <w:jc w:val="both"/>
        <w:rPr>
          <w:rFonts w:ascii="Segoe UI" w:eastAsia="Times New Roman" w:hAnsi="Segoe UI" w:cs="Segoe UI"/>
          <w:color w:val="000000"/>
          <w:szCs w:val="24"/>
          <w:lang w:eastAsia="es-CO"/>
        </w:rPr>
      </w:pPr>
      <w:r w:rsidRPr="00530E4F">
        <w:rPr>
          <w:rFonts w:ascii="Segoe UI" w:eastAsia="Times New Roman" w:hAnsi="Segoe UI" w:cs="Segoe UI"/>
          <w:color w:val="000000"/>
          <w:szCs w:val="24"/>
          <w:lang w:eastAsia="es-CO"/>
        </w:rPr>
        <w:t> </w:t>
      </w:r>
    </w:p>
    <w:p w14:paraId="79F15035" w14:textId="77777777" w:rsidR="00530E4F" w:rsidRPr="00530E4F" w:rsidRDefault="00530E4F" w:rsidP="00530E4F">
      <w:pPr>
        <w:spacing w:after="0" w:line="360" w:lineRule="auto"/>
        <w:ind w:left="284"/>
        <w:jc w:val="both"/>
        <w:rPr>
          <w:rFonts w:ascii="Segoe UI" w:eastAsia="Times New Roman" w:hAnsi="Segoe UI" w:cs="Segoe UI"/>
          <w:color w:val="000000"/>
          <w:szCs w:val="24"/>
          <w:lang w:eastAsia="es-CO"/>
        </w:rPr>
      </w:pPr>
      <w:r w:rsidRPr="00530E4F">
        <w:rPr>
          <w:rFonts w:ascii="Segoe UI" w:eastAsia="Times New Roman" w:hAnsi="Segoe UI" w:cs="Segoe UI"/>
          <w:color w:val="000000"/>
          <w:szCs w:val="24"/>
          <w:lang w:eastAsia="es-CO"/>
        </w:rPr>
        <w:t>“Artículo 93. Reducción transitoria de sanciones y de tasa de interés para omisos en la obligación de declarar de los </w:t>
      </w:r>
      <w:r w:rsidRPr="00530E4F">
        <w:rPr>
          <w:rFonts w:ascii="Segoe UI" w:eastAsia="Times New Roman" w:hAnsi="Segoe UI" w:cs="Segoe UI"/>
          <w:b/>
          <w:bCs/>
          <w:color w:val="000000"/>
          <w:szCs w:val="24"/>
          <w:lang w:eastAsia="es-CO"/>
        </w:rPr>
        <w:t>impuestos administrados por la DIAN</w:t>
      </w:r>
      <w:r w:rsidRPr="00530E4F">
        <w:rPr>
          <w:rFonts w:ascii="Segoe UI" w:eastAsia="Times New Roman" w:hAnsi="Segoe UI" w:cs="Segoe UI"/>
          <w:color w:val="000000"/>
          <w:szCs w:val="24"/>
          <w:lang w:eastAsia="es-CO"/>
        </w:rPr>
        <w:t xml:space="preserve">. Para los </w:t>
      </w:r>
      <w:r w:rsidRPr="00530E4F">
        <w:rPr>
          <w:rFonts w:ascii="Segoe UI" w:eastAsia="Times New Roman" w:hAnsi="Segoe UI" w:cs="Segoe UI"/>
          <w:color w:val="000000"/>
          <w:szCs w:val="24"/>
          <w:lang w:eastAsia="es-CO"/>
        </w:rPr>
        <w:lastRenderedPageBreak/>
        <w:t>contribuyentes que a treinta y uno (31) de diciembre de 2022 no hayan presentado las declaraciones tributarias a que estaban obligados por los </w:t>
      </w:r>
      <w:r w:rsidRPr="00530E4F">
        <w:rPr>
          <w:rFonts w:ascii="Segoe UI" w:eastAsia="Times New Roman" w:hAnsi="Segoe UI" w:cs="Segoe UI"/>
          <w:b/>
          <w:bCs/>
          <w:color w:val="000000"/>
          <w:szCs w:val="24"/>
          <w:u w:val="single"/>
          <w:lang w:eastAsia="es-CO"/>
        </w:rPr>
        <w:t>impuestos administrados por la Unidad Administrativa Especial Dirección de Impuestos y Aduanas Nacionales -DIAN</w:t>
      </w:r>
      <w:r w:rsidRPr="00530E4F">
        <w:rPr>
          <w:rFonts w:ascii="Segoe UI" w:eastAsia="Times New Roman" w:hAnsi="Segoe UI" w:cs="Segoe UI"/>
          <w:b/>
          <w:bCs/>
          <w:color w:val="000000"/>
          <w:szCs w:val="24"/>
          <w:lang w:eastAsia="es-CO"/>
        </w:rPr>
        <w:t> </w:t>
      </w:r>
      <w:r w:rsidRPr="00530E4F">
        <w:rPr>
          <w:rFonts w:ascii="Segoe UI" w:eastAsia="Times New Roman" w:hAnsi="Segoe UI" w:cs="Segoe UI"/>
          <w:color w:val="000000"/>
          <w:szCs w:val="24"/>
          <w:lang w:eastAsia="es-CO"/>
        </w:rPr>
        <w:t>y que las presenten antes del treinta y uno (31) de mayo de 2023, con pago o con facilidades o acuerdos para el pago solicitadas a esta fecha y suscritas antes del treinta (30) de junio de 2023, se reducirán y liquidarán las sanciones y la tasa de interés moratoria en los siguientes términos:</w:t>
      </w:r>
    </w:p>
    <w:p w14:paraId="399EEE93" w14:textId="77777777" w:rsidR="00530E4F" w:rsidRPr="00530E4F" w:rsidRDefault="00530E4F" w:rsidP="00530E4F">
      <w:pPr>
        <w:spacing w:after="0" w:line="360" w:lineRule="auto"/>
        <w:ind w:left="284"/>
        <w:jc w:val="both"/>
        <w:rPr>
          <w:rFonts w:ascii="Segoe UI" w:eastAsia="Times New Roman" w:hAnsi="Segoe UI" w:cs="Segoe UI"/>
          <w:color w:val="000000"/>
          <w:szCs w:val="24"/>
          <w:lang w:eastAsia="es-CO"/>
        </w:rPr>
      </w:pPr>
      <w:r w:rsidRPr="00530E4F">
        <w:rPr>
          <w:rFonts w:ascii="Segoe UI" w:eastAsia="Times New Roman" w:hAnsi="Segoe UI" w:cs="Segoe UI"/>
          <w:color w:val="000000"/>
          <w:szCs w:val="24"/>
          <w:lang w:eastAsia="es-CO"/>
        </w:rPr>
        <w:t> </w:t>
      </w:r>
    </w:p>
    <w:p w14:paraId="213357D8" w14:textId="77777777" w:rsidR="00530E4F" w:rsidRPr="00530E4F" w:rsidRDefault="00530E4F" w:rsidP="00530E4F">
      <w:pPr>
        <w:spacing w:after="0" w:line="360" w:lineRule="auto"/>
        <w:ind w:left="284"/>
        <w:jc w:val="both"/>
        <w:rPr>
          <w:rFonts w:ascii="Segoe UI" w:eastAsia="Times New Roman" w:hAnsi="Segoe UI" w:cs="Segoe UI"/>
          <w:color w:val="000000"/>
          <w:szCs w:val="24"/>
          <w:lang w:eastAsia="es-CO"/>
        </w:rPr>
      </w:pPr>
      <w:r w:rsidRPr="00530E4F">
        <w:rPr>
          <w:rFonts w:ascii="Segoe UI" w:eastAsia="Times New Roman" w:hAnsi="Segoe UI" w:cs="Segoe UI"/>
          <w:color w:val="000000"/>
          <w:szCs w:val="24"/>
          <w:lang w:eastAsia="es-CO"/>
        </w:rPr>
        <w:t>1. La sanción de extemporaneidad se reducirá en un sesenta por ciento (60%) del monto determinado después de aplicar los artículos </w:t>
      </w:r>
      <w:hyperlink r:id="rId11" w:tooltip="Estatuto Tributario CETA" w:history="1">
        <w:r w:rsidRPr="00530E4F">
          <w:rPr>
            <w:rFonts w:ascii="Segoe UI" w:eastAsia="Times New Roman" w:hAnsi="Segoe UI" w:cs="Segoe UI"/>
            <w:color w:val="0645AD"/>
            <w:szCs w:val="24"/>
            <w:u w:val="single"/>
            <w:lang w:eastAsia="es-CO"/>
          </w:rPr>
          <w:t>641</w:t>
        </w:r>
      </w:hyperlink>
      <w:r w:rsidRPr="00530E4F">
        <w:rPr>
          <w:rFonts w:ascii="Segoe UI" w:eastAsia="Times New Roman" w:hAnsi="Segoe UI" w:cs="Segoe UI"/>
          <w:color w:val="000000"/>
          <w:szCs w:val="24"/>
          <w:lang w:eastAsia="es-CO"/>
        </w:rPr>
        <w:t> y </w:t>
      </w:r>
      <w:hyperlink r:id="rId12" w:tooltip="Estatuto Tributario CETA" w:history="1">
        <w:r w:rsidRPr="00530E4F">
          <w:rPr>
            <w:rFonts w:ascii="Segoe UI" w:eastAsia="Times New Roman" w:hAnsi="Segoe UI" w:cs="Segoe UI"/>
            <w:color w:val="0645AD"/>
            <w:szCs w:val="24"/>
            <w:u w:val="single"/>
            <w:lang w:eastAsia="es-CO"/>
          </w:rPr>
          <w:t>640</w:t>
        </w:r>
      </w:hyperlink>
      <w:r w:rsidRPr="00530E4F">
        <w:rPr>
          <w:rFonts w:ascii="Segoe UI" w:eastAsia="Times New Roman" w:hAnsi="Segoe UI" w:cs="Segoe UI"/>
          <w:color w:val="000000"/>
          <w:szCs w:val="24"/>
          <w:lang w:eastAsia="es-CO"/>
        </w:rPr>
        <w:t> del Estatuto Tributario.</w:t>
      </w:r>
    </w:p>
    <w:p w14:paraId="49BDB629" w14:textId="77777777" w:rsidR="00530E4F" w:rsidRPr="00530E4F" w:rsidRDefault="00530E4F" w:rsidP="00530E4F">
      <w:pPr>
        <w:spacing w:after="0" w:line="360" w:lineRule="auto"/>
        <w:ind w:left="284"/>
        <w:jc w:val="both"/>
        <w:rPr>
          <w:rFonts w:ascii="Segoe UI" w:eastAsia="Times New Roman" w:hAnsi="Segoe UI" w:cs="Segoe UI"/>
          <w:color w:val="000000"/>
          <w:szCs w:val="24"/>
          <w:lang w:eastAsia="es-CO"/>
        </w:rPr>
      </w:pPr>
      <w:r w:rsidRPr="00530E4F">
        <w:rPr>
          <w:rFonts w:ascii="Segoe UI" w:eastAsia="Times New Roman" w:hAnsi="Segoe UI" w:cs="Segoe UI"/>
          <w:color w:val="000000"/>
          <w:szCs w:val="24"/>
          <w:lang w:eastAsia="es-CO"/>
        </w:rPr>
        <w:t> </w:t>
      </w:r>
    </w:p>
    <w:p w14:paraId="0E0221AF" w14:textId="77777777" w:rsidR="00530E4F" w:rsidRPr="00530E4F" w:rsidRDefault="00530E4F" w:rsidP="00530E4F">
      <w:pPr>
        <w:spacing w:after="0" w:line="360" w:lineRule="auto"/>
        <w:ind w:left="284"/>
        <w:jc w:val="both"/>
        <w:rPr>
          <w:rFonts w:ascii="Segoe UI" w:eastAsia="Times New Roman" w:hAnsi="Segoe UI" w:cs="Segoe UI"/>
          <w:color w:val="000000"/>
          <w:szCs w:val="24"/>
          <w:lang w:eastAsia="es-CO"/>
        </w:rPr>
      </w:pPr>
      <w:r w:rsidRPr="00530E4F">
        <w:rPr>
          <w:rFonts w:ascii="Segoe UI" w:eastAsia="Times New Roman" w:hAnsi="Segoe UI" w:cs="Segoe UI"/>
          <w:color w:val="000000"/>
          <w:szCs w:val="24"/>
          <w:lang w:eastAsia="es-CO"/>
        </w:rPr>
        <w:t>2. La tasa de interés de mora se reducirá en un sesenta por ciento (60%) de la tasa de interés establecida en el </w:t>
      </w:r>
      <w:hyperlink r:id="rId13" w:tooltip="Estatuto Tributario CETA" w:history="1">
        <w:r w:rsidRPr="00530E4F">
          <w:rPr>
            <w:rFonts w:ascii="Segoe UI" w:eastAsia="Times New Roman" w:hAnsi="Segoe UI" w:cs="Segoe UI"/>
            <w:color w:val="0645AD"/>
            <w:szCs w:val="24"/>
            <w:u w:val="single"/>
            <w:lang w:eastAsia="es-CO"/>
          </w:rPr>
          <w:t>artículo 635</w:t>
        </w:r>
      </w:hyperlink>
      <w:r w:rsidRPr="00530E4F">
        <w:rPr>
          <w:rFonts w:ascii="Segoe UI" w:eastAsia="Times New Roman" w:hAnsi="Segoe UI" w:cs="Segoe UI"/>
          <w:color w:val="000000"/>
          <w:szCs w:val="24"/>
          <w:lang w:eastAsia="es-CO"/>
        </w:rPr>
        <w:t> del Estatuto Tributario.</w:t>
      </w:r>
    </w:p>
    <w:p w14:paraId="02D2E170" w14:textId="77777777" w:rsidR="00530E4F" w:rsidRPr="00530E4F" w:rsidRDefault="00530E4F" w:rsidP="00530E4F">
      <w:pPr>
        <w:spacing w:after="0" w:line="360" w:lineRule="auto"/>
        <w:ind w:left="284"/>
        <w:jc w:val="both"/>
        <w:rPr>
          <w:rFonts w:ascii="Segoe UI" w:eastAsia="Times New Roman" w:hAnsi="Segoe UI" w:cs="Segoe UI"/>
          <w:color w:val="000000"/>
          <w:szCs w:val="24"/>
          <w:lang w:eastAsia="es-CO"/>
        </w:rPr>
      </w:pPr>
      <w:r w:rsidRPr="00530E4F">
        <w:rPr>
          <w:rFonts w:ascii="Segoe UI" w:eastAsia="Times New Roman" w:hAnsi="Segoe UI" w:cs="Segoe UI"/>
          <w:color w:val="000000"/>
          <w:szCs w:val="24"/>
          <w:lang w:eastAsia="es-CO"/>
        </w:rPr>
        <w:t> </w:t>
      </w:r>
    </w:p>
    <w:p w14:paraId="6F1F3544" w14:textId="77777777" w:rsidR="00530E4F" w:rsidRPr="00530E4F" w:rsidRDefault="00530E4F" w:rsidP="00530E4F">
      <w:pPr>
        <w:spacing w:after="0" w:line="360" w:lineRule="auto"/>
        <w:ind w:left="284"/>
        <w:jc w:val="both"/>
        <w:rPr>
          <w:rFonts w:ascii="Segoe UI" w:eastAsia="Times New Roman" w:hAnsi="Segoe UI" w:cs="Segoe UI"/>
          <w:color w:val="000000"/>
          <w:szCs w:val="24"/>
          <w:lang w:eastAsia="es-CO"/>
        </w:rPr>
      </w:pPr>
      <w:r w:rsidRPr="00530E4F">
        <w:rPr>
          <w:rFonts w:ascii="Segoe UI" w:eastAsia="Times New Roman" w:hAnsi="Segoe UI" w:cs="Segoe UI"/>
          <w:b/>
          <w:bCs/>
          <w:color w:val="000000"/>
          <w:szCs w:val="24"/>
          <w:lang w:eastAsia="es-CO"/>
        </w:rPr>
        <w:t>Parágrafo 1.</w:t>
      </w:r>
      <w:r w:rsidRPr="00530E4F">
        <w:rPr>
          <w:rFonts w:ascii="Segoe UI" w:eastAsia="Times New Roman" w:hAnsi="Segoe UI" w:cs="Segoe UI"/>
          <w:color w:val="000000"/>
          <w:szCs w:val="24"/>
          <w:lang w:eastAsia="es-CO"/>
        </w:rPr>
        <w:t xml:space="preserve"> A quienes se les haya notificado requerimiento para declarar y/o corregir, pliegos de cargos, liquidación oficial, resolución sanción o fallo de recurso de reconsideración, las sanciones propuestas o determinadas por la UGPP de que tratan los numerales 1, 2, 3 y 4 del artículo 179 de la ley 1607 de 2012r (sic) respecto de las cuales se paguen hasta el treinta (30) de junio de 2023 la totalidad del acto administrativo, se reducirán al veinte por ciento (20%) del monto propuesto o determinado, con su respectiva actualización. En los procesos de cobro que se encuentren en curso o se inicien con posterioridad a la </w:t>
      </w:r>
      <w:proofErr w:type="gramStart"/>
      <w:r w:rsidRPr="00530E4F">
        <w:rPr>
          <w:rFonts w:ascii="Segoe UI" w:eastAsia="Times New Roman" w:hAnsi="Segoe UI" w:cs="Segoe UI"/>
          <w:color w:val="000000"/>
          <w:szCs w:val="24"/>
          <w:lang w:eastAsia="es-CO"/>
        </w:rPr>
        <w:t>entrada en vigencia</w:t>
      </w:r>
      <w:proofErr w:type="gramEnd"/>
      <w:r w:rsidRPr="00530E4F">
        <w:rPr>
          <w:rFonts w:ascii="Segoe UI" w:eastAsia="Times New Roman" w:hAnsi="Segoe UI" w:cs="Segoe UI"/>
          <w:color w:val="000000"/>
          <w:szCs w:val="24"/>
          <w:lang w:eastAsia="es-CO"/>
        </w:rPr>
        <w:t xml:space="preserve"> de la presente ley, donde se pretenda la reducción prevista en el presente parágrafo, siempre que paguen la totalidad del acto administrativo, se podrán suscribir facilidades de pago a más tardar el treinta (30) de junio de 2023 y su solicitud deberá ser radicada hasta el quince (15) de mayo de 2023. Lo anterior, conforme con el procedimiento que para el efecto establezca la UGPP.</w:t>
      </w:r>
    </w:p>
    <w:p w14:paraId="1B4B58A9" w14:textId="77777777" w:rsidR="00530E4F" w:rsidRPr="00530E4F" w:rsidRDefault="00530E4F" w:rsidP="00530E4F">
      <w:pPr>
        <w:spacing w:after="0" w:line="360" w:lineRule="auto"/>
        <w:ind w:left="284"/>
        <w:jc w:val="both"/>
        <w:rPr>
          <w:rFonts w:ascii="Segoe UI" w:eastAsia="Times New Roman" w:hAnsi="Segoe UI" w:cs="Segoe UI"/>
          <w:color w:val="000000"/>
          <w:szCs w:val="24"/>
          <w:lang w:eastAsia="es-CO"/>
        </w:rPr>
      </w:pPr>
      <w:r w:rsidRPr="00530E4F">
        <w:rPr>
          <w:rFonts w:ascii="Segoe UI" w:eastAsia="Times New Roman" w:hAnsi="Segoe UI" w:cs="Segoe UI"/>
          <w:color w:val="000000"/>
          <w:szCs w:val="24"/>
          <w:lang w:eastAsia="es-CO"/>
        </w:rPr>
        <w:t> </w:t>
      </w:r>
    </w:p>
    <w:p w14:paraId="3495059D" w14:textId="77777777" w:rsidR="00530E4F" w:rsidRPr="00530E4F" w:rsidRDefault="00530E4F" w:rsidP="00530E4F">
      <w:pPr>
        <w:spacing w:after="0" w:line="360" w:lineRule="auto"/>
        <w:ind w:left="284"/>
        <w:jc w:val="both"/>
        <w:rPr>
          <w:rFonts w:ascii="Segoe UI" w:eastAsia="Times New Roman" w:hAnsi="Segoe UI" w:cs="Segoe UI"/>
          <w:color w:val="000000"/>
          <w:szCs w:val="24"/>
          <w:lang w:eastAsia="es-CO"/>
        </w:rPr>
      </w:pPr>
      <w:r w:rsidRPr="00530E4F">
        <w:rPr>
          <w:rFonts w:ascii="Segoe UI" w:eastAsia="Times New Roman" w:hAnsi="Segoe UI" w:cs="Segoe UI"/>
          <w:b/>
          <w:bCs/>
          <w:color w:val="000000"/>
          <w:szCs w:val="24"/>
          <w:lang w:eastAsia="es-CO"/>
        </w:rPr>
        <w:t>Parágrafo 2.</w:t>
      </w:r>
      <w:r w:rsidRPr="00530E4F">
        <w:rPr>
          <w:rFonts w:ascii="Segoe UI" w:eastAsia="Times New Roman" w:hAnsi="Segoe UI" w:cs="Segoe UI"/>
          <w:color w:val="000000"/>
          <w:szCs w:val="24"/>
          <w:lang w:eastAsia="es-CO"/>
        </w:rPr>
        <w:t> Estos beneficios también aplicarán para contribuyentes que corrijan las declaraciones que presenten inexactitudes en los </w:t>
      </w:r>
      <w:r w:rsidRPr="00530E4F">
        <w:rPr>
          <w:rFonts w:ascii="Segoe UI" w:eastAsia="Times New Roman" w:hAnsi="Segoe UI" w:cs="Segoe UI"/>
          <w:b/>
          <w:bCs/>
          <w:color w:val="000000"/>
          <w:szCs w:val="24"/>
          <w:lang w:eastAsia="es-CO"/>
        </w:rPr>
        <w:t>impuestos administrados por la Unidad Administrativa Especial Dirección de Impuestos y Aduanas Nacionales - DIAN</w:t>
      </w:r>
      <w:r w:rsidRPr="00530E4F">
        <w:rPr>
          <w:rFonts w:ascii="Segoe UI" w:eastAsia="Times New Roman" w:hAnsi="Segoe UI" w:cs="Segoe UI"/>
          <w:color w:val="000000"/>
          <w:szCs w:val="24"/>
          <w:lang w:eastAsia="es-CO"/>
        </w:rPr>
        <w:t>. (Énfasis añadido)</w:t>
      </w:r>
    </w:p>
    <w:p w14:paraId="5405370B" w14:textId="77777777" w:rsidR="00530E4F" w:rsidRPr="00530E4F" w:rsidRDefault="00530E4F" w:rsidP="00530E4F">
      <w:pPr>
        <w:spacing w:after="0" w:line="360" w:lineRule="auto"/>
        <w:jc w:val="both"/>
        <w:rPr>
          <w:rFonts w:ascii="Segoe UI" w:eastAsia="Times New Roman" w:hAnsi="Segoe UI" w:cs="Segoe UI"/>
          <w:color w:val="000000"/>
          <w:szCs w:val="24"/>
          <w:lang w:eastAsia="es-CO"/>
        </w:rPr>
      </w:pPr>
      <w:r w:rsidRPr="00530E4F">
        <w:rPr>
          <w:rFonts w:ascii="Segoe UI" w:eastAsia="Times New Roman" w:hAnsi="Segoe UI" w:cs="Segoe UI"/>
          <w:color w:val="000000"/>
          <w:szCs w:val="24"/>
          <w:lang w:eastAsia="es-CO"/>
        </w:rPr>
        <w:t> </w:t>
      </w:r>
    </w:p>
    <w:p w14:paraId="671D871F" w14:textId="77777777" w:rsidR="00530E4F" w:rsidRPr="00530E4F" w:rsidRDefault="00530E4F" w:rsidP="00530E4F">
      <w:pPr>
        <w:spacing w:after="0" w:line="360" w:lineRule="auto"/>
        <w:jc w:val="both"/>
        <w:rPr>
          <w:rFonts w:ascii="Segoe UI" w:eastAsia="Times New Roman" w:hAnsi="Segoe UI" w:cs="Segoe UI"/>
          <w:color w:val="000000"/>
          <w:szCs w:val="24"/>
          <w:lang w:eastAsia="es-CO"/>
        </w:rPr>
      </w:pPr>
      <w:r w:rsidRPr="00530E4F">
        <w:rPr>
          <w:rFonts w:ascii="Segoe UI" w:eastAsia="Times New Roman" w:hAnsi="Segoe UI" w:cs="Segoe UI"/>
          <w:color w:val="000000"/>
          <w:szCs w:val="24"/>
          <w:lang w:eastAsia="es-CO"/>
        </w:rPr>
        <w:t>Del análisis de la norma trascrita, se colige que:</w:t>
      </w:r>
    </w:p>
    <w:p w14:paraId="72D5A034" w14:textId="77777777" w:rsidR="00530E4F" w:rsidRPr="00530E4F" w:rsidRDefault="00530E4F" w:rsidP="00530E4F">
      <w:pPr>
        <w:spacing w:after="0" w:line="360" w:lineRule="auto"/>
        <w:jc w:val="both"/>
        <w:rPr>
          <w:rFonts w:ascii="Segoe UI" w:eastAsia="Times New Roman" w:hAnsi="Segoe UI" w:cs="Segoe UI"/>
          <w:color w:val="000000"/>
          <w:szCs w:val="24"/>
          <w:lang w:eastAsia="es-CO"/>
        </w:rPr>
      </w:pPr>
      <w:r w:rsidRPr="00530E4F">
        <w:rPr>
          <w:rFonts w:ascii="Segoe UI" w:eastAsia="Times New Roman" w:hAnsi="Segoe UI" w:cs="Segoe UI"/>
          <w:color w:val="000000"/>
          <w:szCs w:val="24"/>
          <w:lang w:eastAsia="es-CO"/>
        </w:rPr>
        <w:lastRenderedPageBreak/>
        <w:t> </w:t>
      </w:r>
    </w:p>
    <w:p w14:paraId="44FD331C" w14:textId="77494813" w:rsidR="00530E4F" w:rsidRPr="00530E4F" w:rsidRDefault="00530E4F" w:rsidP="00530E4F">
      <w:pPr>
        <w:numPr>
          <w:ilvl w:val="0"/>
          <w:numId w:val="13"/>
        </w:numPr>
        <w:spacing w:before="100" w:beforeAutospacing="1" w:after="100" w:afterAutospacing="1" w:line="360" w:lineRule="auto"/>
        <w:ind w:left="1080" w:firstLine="0"/>
        <w:jc w:val="both"/>
        <w:rPr>
          <w:rFonts w:ascii="Segoe UI" w:eastAsia="Times New Roman" w:hAnsi="Segoe UI" w:cs="Segoe UI"/>
          <w:color w:val="000000"/>
          <w:szCs w:val="24"/>
          <w:lang w:eastAsia="es-CO"/>
        </w:rPr>
      </w:pPr>
      <w:r w:rsidRPr="00530E4F">
        <w:rPr>
          <w:rFonts w:ascii="Segoe UI" w:eastAsia="Times New Roman" w:hAnsi="Segoe UI" w:cs="Segoe UI"/>
          <w:color w:val="000000"/>
          <w:szCs w:val="24"/>
          <w:lang w:eastAsia="es-CO"/>
        </w:rPr>
        <w:t>Se trata de una norma de carácter exceptivo, pues su aplicación se restringe a las obligaciones enmarcadas en las condiciones que ella establece.</w:t>
      </w:r>
    </w:p>
    <w:p w14:paraId="409E89CC" w14:textId="77777777" w:rsidR="00530E4F" w:rsidRPr="00530E4F" w:rsidRDefault="00530E4F" w:rsidP="00530E4F">
      <w:pPr>
        <w:numPr>
          <w:ilvl w:val="0"/>
          <w:numId w:val="14"/>
        </w:numPr>
        <w:spacing w:before="100" w:beforeAutospacing="1" w:after="100" w:afterAutospacing="1" w:line="360" w:lineRule="auto"/>
        <w:ind w:left="1080" w:firstLine="0"/>
        <w:jc w:val="both"/>
        <w:rPr>
          <w:rFonts w:ascii="Segoe UI" w:eastAsia="Times New Roman" w:hAnsi="Segoe UI" w:cs="Segoe UI"/>
          <w:color w:val="000000"/>
          <w:szCs w:val="24"/>
          <w:lang w:eastAsia="es-CO"/>
        </w:rPr>
      </w:pPr>
      <w:r w:rsidRPr="00530E4F">
        <w:rPr>
          <w:rFonts w:ascii="Segoe UI" w:eastAsia="Times New Roman" w:hAnsi="Segoe UI" w:cs="Segoe UI"/>
          <w:color w:val="000000"/>
          <w:szCs w:val="24"/>
          <w:lang w:eastAsia="es-CO"/>
        </w:rPr>
        <w:t>Dicho marco se delimita desde dos criterios, uno de orden subjetivo con dos sujetos involucrados, a saber: (i) contribuyentes omisos (sujeto pasivo), y; (</w:t>
      </w:r>
      <w:proofErr w:type="spellStart"/>
      <w:r w:rsidRPr="00530E4F">
        <w:rPr>
          <w:rFonts w:ascii="Segoe UI" w:eastAsia="Times New Roman" w:hAnsi="Segoe UI" w:cs="Segoe UI"/>
          <w:color w:val="000000"/>
          <w:szCs w:val="24"/>
          <w:lang w:eastAsia="es-CO"/>
        </w:rPr>
        <w:t>ii</w:t>
      </w:r>
      <w:proofErr w:type="spellEnd"/>
      <w:r w:rsidRPr="00530E4F">
        <w:rPr>
          <w:rFonts w:ascii="Segoe UI" w:eastAsia="Times New Roman" w:hAnsi="Segoe UI" w:cs="Segoe UI"/>
          <w:color w:val="000000"/>
          <w:szCs w:val="24"/>
          <w:lang w:eastAsia="es-CO"/>
        </w:rPr>
        <w:t>) la Dirección de Impuestos y Aduanas Nacionales -DIAN (sujeto activo), y; otro criterio de orden objetivo, esto es que se trate de declaraciones tributarias no presentadas y que sean presentadas antes del treinta y uno (31) de mayo de 2023, con pago o con facilidades o acuerdos.</w:t>
      </w:r>
    </w:p>
    <w:p w14:paraId="1D191BAC" w14:textId="77777777" w:rsidR="00530E4F" w:rsidRPr="00530E4F" w:rsidRDefault="00530E4F" w:rsidP="00530E4F">
      <w:pPr>
        <w:spacing w:after="0" w:line="360" w:lineRule="auto"/>
        <w:jc w:val="both"/>
        <w:rPr>
          <w:rFonts w:ascii="Segoe UI" w:eastAsia="Times New Roman" w:hAnsi="Segoe UI" w:cs="Segoe UI"/>
          <w:color w:val="000000"/>
          <w:szCs w:val="24"/>
          <w:lang w:eastAsia="es-CO"/>
        </w:rPr>
      </w:pPr>
      <w:r w:rsidRPr="00530E4F">
        <w:rPr>
          <w:rFonts w:ascii="Segoe UI" w:eastAsia="Times New Roman" w:hAnsi="Segoe UI" w:cs="Segoe UI"/>
          <w:color w:val="000000"/>
          <w:szCs w:val="24"/>
          <w:lang w:eastAsia="es-CO"/>
        </w:rPr>
        <w:t> </w:t>
      </w:r>
    </w:p>
    <w:p w14:paraId="674750AD" w14:textId="77777777" w:rsidR="00530E4F" w:rsidRPr="00530E4F" w:rsidRDefault="00530E4F" w:rsidP="00530E4F">
      <w:pPr>
        <w:spacing w:after="0" w:line="360" w:lineRule="auto"/>
        <w:jc w:val="both"/>
        <w:rPr>
          <w:rFonts w:ascii="Segoe UI" w:eastAsia="Times New Roman" w:hAnsi="Segoe UI" w:cs="Segoe UI"/>
          <w:b/>
          <w:bCs/>
          <w:color w:val="000000"/>
          <w:szCs w:val="24"/>
          <w:lang w:eastAsia="es-CO"/>
        </w:rPr>
      </w:pPr>
      <w:r w:rsidRPr="00530E4F">
        <w:rPr>
          <w:rFonts w:ascii="Segoe UI" w:eastAsia="Times New Roman" w:hAnsi="Segoe UI" w:cs="Segoe UI"/>
          <w:b/>
          <w:bCs/>
          <w:color w:val="000000"/>
          <w:szCs w:val="24"/>
          <w:highlight w:val="cyan"/>
          <w:lang w:eastAsia="es-CO"/>
        </w:rPr>
        <w:t>De lo anterior se desprende que la aplicación de lo normado en el artículo 93 de la Ley 2277 de 2022, se limita a sujetos pasivos omisos e inexactos, de impuestos administrados por la DIAN.</w:t>
      </w:r>
    </w:p>
    <w:p w14:paraId="35EEE9B8" w14:textId="77777777" w:rsidR="00530E4F" w:rsidRPr="00530E4F" w:rsidRDefault="00530E4F" w:rsidP="00530E4F">
      <w:pPr>
        <w:spacing w:after="0" w:line="360" w:lineRule="auto"/>
        <w:jc w:val="both"/>
        <w:rPr>
          <w:rFonts w:ascii="Segoe UI" w:eastAsia="Times New Roman" w:hAnsi="Segoe UI" w:cs="Segoe UI"/>
          <w:color w:val="000000"/>
          <w:szCs w:val="24"/>
          <w:lang w:eastAsia="es-CO"/>
        </w:rPr>
      </w:pPr>
      <w:r w:rsidRPr="00530E4F">
        <w:rPr>
          <w:rFonts w:ascii="Segoe UI" w:eastAsia="Times New Roman" w:hAnsi="Segoe UI" w:cs="Segoe UI"/>
          <w:color w:val="000000"/>
          <w:szCs w:val="24"/>
          <w:lang w:eastAsia="es-CO"/>
        </w:rPr>
        <w:t> </w:t>
      </w:r>
    </w:p>
    <w:p w14:paraId="29890EC3" w14:textId="77777777" w:rsidR="00530E4F" w:rsidRPr="00530E4F" w:rsidRDefault="00530E4F" w:rsidP="00530E4F">
      <w:pPr>
        <w:spacing w:after="0" w:line="360" w:lineRule="auto"/>
        <w:jc w:val="both"/>
        <w:rPr>
          <w:rFonts w:ascii="Segoe UI" w:eastAsia="Times New Roman" w:hAnsi="Segoe UI" w:cs="Segoe UI"/>
          <w:color w:val="000000"/>
          <w:szCs w:val="24"/>
          <w:lang w:eastAsia="es-CO"/>
        </w:rPr>
      </w:pPr>
      <w:r w:rsidRPr="00530E4F">
        <w:rPr>
          <w:rFonts w:ascii="Segoe UI" w:eastAsia="Times New Roman" w:hAnsi="Segoe UI" w:cs="Segoe UI"/>
          <w:color w:val="000000"/>
          <w:szCs w:val="24"/>
          <w:lang w:eastAsia="es-CO"/>
        </w:rPr>
        <w:t>Así las cosas, debe tenerse presente que, como toda norma exceptiva, su aplicación es de carácter restrictivo y, por tanto, únicamente abarca los supuestos y sujetos expresamente previstos en la norma que las establece, siempre y cuando se cumplan los requisitos exigidos para su procedencia. Veamos lo expresado al respecto por el Consejo de Estado:</w:t>
      </w:r>
    </w:p>
    <w:p w14:paraId="0A081D4B" w14:textId="77777777" w:rsidR="00530E4F" w:rsidRPr="00530E4F" w:rsidRDefault="00530E4F" w:rsidP="00530E4F">
      <w:pPr>
        <w:spacing w:after="0" w:line="360" w:lineRule="auto"/>
        <w:jc w:val="both"/>
        <w:rPr>
          <w:rFonts w:ascii="Segoe UI" w:eastAsia="Times New Roman" w:hAnsi="Segoe UI" w:cs="Segoe UI"/>
          <w:color w:val="000000"/>
          <w:szCs w:val="24"/>
          <w:lang w:eastAsia="es-CO"/>
        </w:rPr>
      </w:pPr>
      <w:r w:rsidRPr="00530E4F">
        <w:rPr>
          <w:rFonts w:ascii="Segoe UI" w:eastAsia="Times New Roman" w:hAnsi="Segoe UI" w:cs="Segoe UI"/>
          <w:color w:val="000000"/>
          <w:szCs w:val="24"/>
          <w:lang w:eastAsia="es-CO"/>
        </w:rPr>
        <w:t> </w:t>
      </w:r>
    </w:p>
    <w:p w14:paraId="7458808A" w14:textId="77777777" w:rsidR="00530E4F" w:rsidRPr="00530E4F" w:rsidRDefault="00530E4F" w:rsidP="00530E4F">
      <w:pPr>
        <w:spacing w:after="0" w:line="360" w:lineRule="auto"/>
        <w:ind w:left="284"/>
        <w:jc w:val="both"/>
        <w:rPr>
          <w:rFonts w:ascii="Segoe UI" w:eastAsia="Times New Roman" w:hAnsi="Segoe UI" w:cs="Segoe UI"/>
          <w:color w:val="000000"/>
          <w:szCs w:val="24"/>
          <w:lang w:eastAsia="es-CO"/>
        </w:rPr>
      </w:pPr>
      <w:r w:rsidRPr="00530E4F">
        <w:rPr>
          <w:rFonts w:ascii="Segoe UI" w:eastAsia="Times New Roman" w:hAnsi="Segoe UI" w:cs="Segoe UI"/>
          <w:i/>
          <w:iCs/>
          <w:color w:val="000000"/>
          <w:szCs w:val="24"/>
          <w:lang w:eastAsia="es-CO"/>
        </w:rPr>
        <w:t>“[...] Las normas de exención de impuestos o contribuciones, por constituir una excepción al principio general de tributación de algún gravamen, </w:t>
      </w:r>
      <w:r w:rsidRPr="00530E4F">
        <w:rPr>
          <w:rFonts w:ascii="Segoe UI" w:eastAsia="Times New Roman" w:hAnsi="Segoe UI" w:cs="Segoe UI"/>
          <w:b/>
          <w:bCs/>
          <w:i/>
          <w:iCs/>
          <w:color w:val="000000"/>
          <w:szCs w:val="24"/>
          <w:u w:val="single"/>
          <w:lang w:eastAsia="es-CO"/>
        </w:rPr>
        <w:t>son de interpretación restrictiva, de manera que se aplican solamente a los sujetos o a los eventos que expresamente hayan sido mencionados en la norma, sin que sea posible hacer una interpretación extensiva o analógica para englobar personas o situaciones similares que se beneficien de la exención.</w:t>
      </w:r>
      <w:r w:rsidRPr="00530E4F">
        <w:rPr>
          <w:rFonts w:ascii="Segoe UI" w:eastAsia="Times New Roman" w:hAnsi="Segoe UI" w:cs="Segoe UI"/>
          <w:b/>
          <w:bCs/>
          <w:i/>
          <w:iCs/>
          <w:color w:val="000000"/>
          <w:szCs w:val="24"/>
          <w:lang w:eastAsia="es-CO"/>
        </w:rPr>
        <w:t> </w:t>
      </w:r>
      <w:r w:rsidRPr="00530E4F">
        <w:rPr>
          <w:rFonts w:ascii="Segoe UI" w:eastAsia="Times New Roman" w:hAnsi="Segoe UI" w:cs="Segoe UI"/>
          <w:i/>
          <w:iCs/>
          <w:color w:val="000000"/>
          <w:szCs w:val="24"/>
          <w:lang w:eastAsia="es-CO"/>
        </w:rPr>
        <w:t>De igual manera, las enumeraciones que contemplan las normas tributarias de exención deben ser consideradas como taxativas, y no pueden ser incorporadas a ellas otras expresiones, así fueran justificadas por razones de vecindad jurídica o funcional. [...]”</w:t>
      </w:r>
      <w:hyperlink r:id="rId14" w:anchor="cite_note-1" w:history="1">
        <w:r w:rsidRPr="00530E4F">
          <w:rPr>
            <w:rFonts w:ascii="Segoe UI" w:eastAsia="Times New Roman" w:hAnsi="Segoe UI" w:cs="Segoe UI"/>
            <w:color w:val="0645AD"/>
            <w:szCs w:val="24"/>
            <w:u w:val="single"/>
            <w:vertAlign w:val="superscript"/>
            <w:lang w:eastAsia="es-CO"/>
          </w:rPr>
          <w:t>1</w:t>
        </w:r>
      </w:hyperlink>
      <w:r w:rsidRPr="00530E4F">
        <w:rPr>
          <w:rFonts w:ascii="Segoe UI" w:eastAsia="Times New Roman" w:hAnsi="Segoe UI" w:cs="Segoe UI"/>
          <w:i/>
          <w:iCs/>
          <w:color w:val="000000"/>
          <w:szCs w:val="24"/>
          <w:lang w:eastAsia="es-CO"/>
        </w:rPr>
        <w:t> </w:t>
      </w:r>
      <w:r w:rsidRPr="00530E4F">
        <w:rPr>
          <w:rFonts w:ascii="Segoe UI" w:eastAsia="Times New Roman" w:hAnsi="Segoe UI" w:cs="Segoe UI"/>
          <w:color w:val="000000"/>
          <w:szCs w:val="24"/>
          <w:lang w:eastAsia="es-CO"/>
        </w:rPr>
        <w:t>(Énfasis añadido)</w:t>
      </w:r>
    </w:p>
    <w:p w14:paraId="0248141D" w14:textId="77777777" w:rsidR="00530E4F" w:rsidRPr="00530E4F" w:rsidRDefault="00530E4F" w:rsidP="00530E4F">
      <w:pPr>
        <w:spacing w:after="0" w:line="360" w:lineRule="auto"/>
        <w:jc w:val="both"/>
        <w:rPr>
          <w:rFonts w:ascii="Segoe UI" w:eastAsia="Times New Roman" w:hAnsi="Segoe UI" w:cs="Segoe UI"/>
          <w:color w:val="000000"/>
          <w:szCs w:val="24"/>
          <w:lang w:eastAsia="es-CO"/>
        </w:rPr>
      </w:pPr>
      <w:r w:rsidRPr="00530E4F">
        <w:rPr>
          <w:rFonts w:ascii="Segoe UI" w:eastAsia="Times New Roman" w:hAnsi="Segoe UI" w:cs="Segoe UI"/>
          <w:color w:val="000000"/>
          <w:szCs w:val="24"/>
          <w:lang w:eastAsia="es-CO"/>
        </w:rPr>
        <w:t> </w:t>
      </w:r>
    </w:p>
    <w:p w14:paraId="22385841" w14:textId="77777777" w:rsidR="00530E4F" w:rsidRPr="00530E4F" w:rsidRDefault="00530E4F" w:rsidP="00530E4F">
      <w:pPr>
        <w:spacing w:after="0" w:line="360" w:lineRule="auto"/>
        <w:jc w:val="both"/>
        <w:rPr>
          <w:rFonts w:ascii="Segoe UI" w:eastAsia="Times New Roman" w:hAnsi="Segoe UI" w:cs="Segoe UI"/>
          <w:color w:val="000000"/>
          <w:szCs w:val="24"/>
          <w:lang w:eastAsia="es-CO"/>
        </w:rPr>
      </w:pPr>
      <w:r w:rsidRPr="00530E4F">
        <w:rPr>
          <w:rFonts w:ascii="Segoe UI" w:eastAsia="Times New Roman" w:hAnsi="Segoe UI" w:cs="Segoe UI"/>
          <w:color w:val="000000"/>
          <w:szCs w:val="24"/>
          <w:lang w:eastAsia="es-CO"/>
        </w:rPr>
        <w:t>En idéntico sentido señaló la Corte Constitucional:</w:t>
      </w:r>
    </w:p>
    <w:p w14:paraId="669E8689" w14:textId="77777777" w:rsidR="00530E4F" w:rsidRPr="00530E4F" w:rsidRDefault="00530E4F" w:rsidP="00530E4F">
      <w:pPr>
        <w:spacing w:after="0" w:line="360" w:lineRule="auto"/>
        <w:jc w:val="both"/>
        <w:rPr>
          <w:rFonts w:ascii="Segoe UI" w:eastAsia="Times New Roman" w:hAnsi="Segoe UI" w:cs="Segoe UI"/>
          <w:color w:val="000000"/>
          <w:szCs w:val="24"/>
          <w:lang w:eastAsia="es-CO"/>
        </w:rPr>
      </w:pPr>
      <w:r w:rsidRPr="00530E4F">
        <w:rPr>
          <w:rFonts w:ascii="Segoe UI" w:eastAsia="Times New Roman" w:hAnsi="Segoe UI" w:cs="Segoe UI"/>
          <w:color w:val="000000"/>
          <w:szCs w:val="24"/>
          <w:lang w:eastAsia="es-CO"/>
        </w:rPr>
        <w:t> </w:t>
      </w:r>
    </w:p>
    <w:p w14:paraId="6A9C2D34" w14:textId="77777777" w:rsidR="00530E4F" w:rsidRPr="00530E4F" w:rsidRDefault="00530E4F" w:rsidP="00530E4F">
      <w:pPr>
        <w:spacing w:after="0" w:line="360" w:lineRule="auto"/>
        <w:ind w:left="284"/>
        <w:jc w:val="both"/>
        <w:rPr>
          <w:rFonts w:ascii="Segoe UI" w:eastAsia="Times New Roman" w:hAnsi="Segoe UI" w:cs="Segoe UI"/>
          <w:color w:val="000000"/>
          <w:szCs w:val="24"/>
          <w:lang w:eastAsia="es-CO"/>
        </w:rPr>
      </w:pPr>
      <w:r w:rsidRPr="00530E4F">
        <w:rPr>
          <w:rFonts w:ascii="Segoe UI" w:eastAsia="Times New Roman" w:hAnsi="Segoe UI" w:cs="Segoe UI"/>
          <w:i/>
          <w:iCs/>
          <w:color w:val="000000"/>
          <w:szCs w:val="24"/>
          <w:lang w:eastAsia="es-CO"/>
        </w:rPr>
        <w:lastRenderedPageBreak/>
        <w:t>“[...] "En este orden de ideas, a partir de la iniciativa gubernamental el Congreso puede establecer exenciones tributarias de rango nacional, </w:t>
      </w:r>
      <w:r w:rsidRPr="00530E4F">
        <w:rPr>
          <w:rFonts w:ascii="Segoe UI" w:eastAsia="Times New Roman" w:hAnsi="Segoe UI" w:cs="Segoe UI"/>
          <w:b/>
          <w:bCs/>
          <w:i/>
          <w:iCs/>
          <w:color w:val="000000"/>
          <w:szCs w:val="24"/>
          <w:u w:val="single"/>
          <w:lang w:eastAsia="es-CO"/>
        </w:rPr>
        <w:t>las cuales se identifican por su carácter taxativo, limitativo, inequívoco, personal e intransferible, de suerte tal que únicamente obrarán a favor de los sujetos pasivos que se subsuman en las hipótesis previstas en la ley, sin que a estos les sea dable transferirlas válidamente a otros sujetos pasivos bajo ningún respecto</w:t>
      </w:r>
      <w:r w:rsidRPr="00530E4F">
        <w:rPr>
          <w:rFonts w:ascii="Segoe UI" w:eastAsia="Times New Roman" w:hAnsi="Segoe UI" w:cs="Segoe UI"/>
          <w:i/>
          <w:iCs/>
          <w:color w:val="000000"/>
          <w:szCs w:val="24"/>
          <w:lang w:eastAsia="es-CO"/>
        </w:rPr>
        <w:t>. [...]”</w:t>
      </w:r>
      <w:hyperlink r:id="rId15" w:anchor="cite_note-2" w:history="1">
        <w:r w:rsidRPr="00530E4F">
          <w:rPr>
            <w:rFonts w:ascii="Segoe UI" w:eastAsia="Times New Roman" w:hAnsi="Segoe UI" w:cs="Segoe UI"/>
            <w:color w:val="0645AD"/>
            <w:szCs w:val="24"/>
            <w:u w:val="single"/>
            <w:vertAlign w:val="superscript"/>
            <w:lang w:eastAsia="es-CO"/>
          </w:rPr>
          <w:t>2</w:t>
        </w:r>
      </w:hyperlink>
      <w:r w:rsidRPr="00530E4F">
        <w:rPr>
          <w:rFonts w:ascii="Segoe UI" w:eastAsia="Times New Roman" w:hAnsi="Segoe UI" w:cs="Segoe UI"/>
          <w:color w:val="000000"/>
          <w:szCs w:val="24"/>
          <w:lang w:eastAsia="es-CO"/>
        </w:rPr>
        <w:t> (Énfasis añadido)</w:t>
      </w:r>
    </w:p>
    <w:p w14:paraId="2D99D264" w14:textId="77777777" w:rsidR="00530E4F" w:rsidRPr="00530E4F" w:rsidRDefault="00530E4F" w:rsidP="00530E4F">
      <w:pPr>
        <w:pStyle w:val="NormalWeb"/>
        <w:spacing w:before="0" w:beforeAutospacing="0" w:after="0" w:afterAutospacing="0" w:line="360" w:lineRule="auto"/>
        <w:jc w:val="both"/>
        <w:rPr>
          <w:rFonts w:ascii="Segoe UI" w:hAnsi="Segoe UI" w:cs="Segoe UI"/>
          <w:color w:val="000000"/>
        </w:rPr>
      </w:pPr>
    </w:p>
    <w:p w14:paraId="2045947F" w14:textId="77777777" w:rsidR="00530E4F" w:rsidRPr="00530E4F" w:rsidRDefault="00530E4F" w:rsidP="00530E4F">
      <w:pPr>
        <w:pStyle w:val="NormalWeb"/>
        <w:spacing w:before="0" w:beforeAutospacing="0" w:after="0" w:afterAutospacing="0" w:line="360" w:lineRule="auto"/>
        <w:jc w:val="both"/>
        <w:rPr>
          <w:rFonts w:ascii="Segoe UI" w:hAnsi="Segoe UI" w:cs="Segoe UI"/>
          <w:color w:val="000000"/>
        </w:rPr>
      </w:pPr>
    </w:p>
    <w:p w14:paraId="4908B670" w14:textId="01291635" w:rsidR="00530E4F" w:rsidRPr="00530E4F" w:rsidRDefault="00530E4F" w:rsidP="00530E4F">
      <w:pPr>
        <w:pStyle w:val="NormalWeb"/>
        <w:spacing w:before="0" w:beforeAutospacing="0" w:after="0" w:afterAutospacing="0" w:line="360" w:lineRule="auto"/>
        <w:jc w:val="both"/>
        <w:rPr>
          <w:rFonts w:ascii="Segoe UI" w:hAnsi="Segoe UI" w:cs="Segoe UI"/>
          <w:color w:val="000000"/>
        </w:rPr>
      </w:pPr>
      <w:r w:rsidRPr="00530E4F">
        <w:rPr>
          <w:rFonts w:ascii="Segoe UI" w:hAnsi="Segoe UI" w:cs="Segoe UI"/>
          <w:color w:val="000000"/>
        </w:rPr>
        <w:t>En consecuencia, lo que se pretende hacer ver es que la interpretación de las normas exceptivas, como es el caso de la establecida en el artículo 93 de la Ley 2277 de 2022 </w:t>
      </w:r>
      <w:r w:rsidRPr="00530E4F">
        <w:rPr>
          <w:rFonts w:ascii="Segoe UI" w:hAnsi="Segoe UI" w:cs="Segoe UI"/>
          <w:i/>
          <w:iCs/>
          <w:color w:val="000000"/>
        </w:rPr>
        <w:t>supra</w:t>
      </w:r>
      <w:r w:rsidRPr="00530E4F">
        <w:rPr>
          <w:rFonts w:ascii="Segoe UI" w:hAnsi="Segoe UI" w:cs="Segoe UI"/>
          <w:color w:val="000000"/>
        </w:rPr>
        <w:t>, es de carácter restrictivo y debe circunscribirse únicamente a los sujetos y a los supuestos taxativamente señalados en ella, sin que sea posible aplicarlas de manera analógica o extensiva. En tal virtud, a nuestro juicio, la precitada norma no puede ser aplicada por parte de las entidades territoriales.</w:t>
      </w:r>
    </w:p>
    <w:p w14:paraId="6E4BB31D" w14:textId="77777777" w:rsidR="00530E4F" w:rsidRPr="00530E4F" w:rsidRDefault="00530E4F" w:rsidP="00530E4F">
      <w:pPr>
        <w:pStyle w:val="NormalWeb"/>
        <w:spacing w:before="0" w:beforeAutospacing="0" w:after="0" w:afterAutospacing="0" w:line="360" w:lineRule="auto"/>
        <w:jc w:val="both"/>
        <w:rPr>
          <w:rFonts w:ascii="Segoe UI" w:hAnsi="Segoe UI" w:cs="Segoe UI"/>
          <w:color w:val="000000"/>
        </w:rPr>
      </w:pPr>
      <w:r w:rsidRPr="00530E4F">
        <w:rPr>
          <w:rFonts w:ascii="Segoe UI" w:hAnsi="Segoe UI" w:cs="Segoe UI"/>
          <w:color w:val="000000"/>
        </w:rPr>
        <w:t> </w:t>
      </w:r>
    </w:p>
    <w:p w14:paraId="692343DD" w14:textId="77777777" w:rsidR="00530E4F" w:rsidRPr="00530E4F" w:rsidRDefault="00530E4F" w:rsidP="00530E4F">
      <w:pPr>
        <w:pStyle w:val="NormalWeb"/>
        <w:spacing w:before="0" w:beforeAutospacing="0" w:after="0" w:afterAutospacing="0" w:line="360" w:lineRule="auto"/>
        <w:jc w:val="both"/>
        <w:rPr>
          <w:rFonts w:ascii="Segoe UI" w:hAnsi="Segoe UI" w:cs="Segoe UI"/>
          <w:color w:val="000000"/>
        </w:rPr>
      </w:pPr>
      <w:r w:rsidRPr="00530E4F">
        <w:rPr>
          <w:rFonts w:ascii="Segoe UI" w:hAnsi="Segoe UI" w:cs="Segoe UI"/>
          <w:color w:val="000000"/>
        </w:rPr>
        <w:t>Cordialmente</w:t>
      </w:r>
    </w:p>
    <w:p w14:paraId="34B9DE42" w14:textId="59904984" w:rsidR="00530E4F" w:rsidRPr="00530E4F" w:rsidRDefault="00530E4F" w:rsidP="00530E4F">
      <w:pPr>
        <w:spacing w:line="360" w:lineRule="auto"/>
        <w:rPr>
          <w:szCs w:val="24"/>
        </w:rPr>
      </w:pPr>
    </w:p>
    <w:p w14:paraId="7C854376" w14:textId="08294864" w:rsidR="00530E4F" w:rsidRPr="00530E4F" w:rsidRDefault="00530E4F" w:rsidP="00530E4F">
      <w:pPr>
        <w:spacing w:after="0" w:line="360" w:lineRule="auto"/>
        <w:jc w:val="both"/>
        <w:rPr>
          <w:rFonts w:ascii="Segoe UI" w:eastAsia="Times New Roman" w:hAnsi="Segoe UI" w:cs="Segoe UI"/>
          <w:color w:val="000000"/>
          <w:szCs w:val="24"/>
          <w:lang w:eastAsia="es-CO"/>
        </w:rPr>
      </w:pPr>
      <w:r w:rsidRPr="00530E4F">
        <w:rPr>
          <w:rFonts w:ascii="Segoe UI" w:eastAsia="Times New Roman" w:hAnsi="Segoe UI" w:cs="Segoe UI"/>
          <w:b/>
          <w:bCs/>
          <w:color w:val="000000"/>
          <w:szCs w:val="24"/>
          <w:lang w:eastAsia="es-CO"/>
        </w:rPr>
        <w:t>Claudia Helena Otálora Cristancho</w:t>
      </w:r>
    </w:p>
    <w:p w14:paraId="1F79F0CB" w14:textId="77777777" w:rsidR="00530E4F" w:rsidRPr="00530E4F" w:rsidRDefault="00530E4F" w:rsidP="00530E4F">
      <w:pPr>
        <w:spacing w:after="0" w:line="360" w:lineRule="auto"/>
        <w:jc w:val="both"/>
        <w:rPr>
          <w:rFonts w:ascii="Segoe UI" w:eastAsia="Times New Roman" w:hAnsi="Segoe UI" w:cs="Segoe UI"/>
          <w:color w:val="000000"/>
          <w:szCs w:val="24"/>
          <w:lang w:eastAsia="es-CO"/>
        </w:rPr>
      </w:pPr>
      <w:r w:rsidRPr="00530E4F">
        <w:rPr>
          <w:rFonts w:ascii="Segoe UI" w:eastAsia="Times New Roman" w:hAnsi="Segoe UI" w:cs="Segoe UI"/>
          <w:color w:val="000000"/>
          <w:szCs w:val="24"/>
          <w:lang w:eastAsia="es-CO"/>
        </w:rPr>
        <w:t>Subdirectora de Fortalecimiento Institucional Territorial</w:t>
      </w:r>
    </w:p>
    <w:p w14:paraId="24175704" w14:textId="77777777" w:rsidR="00530E4F" w:rsidRPr="00530E4F" w:rsidRDefault="00530E4F" w:rsidP="00530E4F">
      <w:pPr>
        <w:spacing w:after="0" w:line="360" w:lineRule="auto"/>
        <w:jc w:val="both"/>
        <w:rPr>
          <w:rFonts w:ascii="Segoe UI" w:eastAsia="Times New Roman" w:hAnsi="Segoe UI" w:cs="Segoe UI"/>
          <w:color w:val="000000"/>
          <w:szCs w:val="24"/>
          <w:lang w:eastAsia="es-CO"/>
        </w:rPr>
      </w:pPr>
      <w:r w:rsidRPr="00530E4F">
        <w:rPr>
          <w:rFonts w:ascii="Segoe UI" w:eastAsia="Times New Roman" w:hAnsi="Segoe UI" w:cs="Segoe UI"/>
          <w:color w:val="000000"/>
          <w:szCs w:val="24"/>
          <w:lang w:eastAsia="es-CO"/>
        </w:rPr>
        <w:t>Dirección General de Apoyo Fiscal</w:t>
      </w:r>
    </w:p>
    <w:p w14:paraId="2E7201EE" w14:textId="77777777" w:rsidR="00530E4F" w:rsidRPr="00530E4F" w:rsidRDefault="00530E4F" w:rsidP="00530E4F">
      <w:pPr>
        <w:spacing w:after="0" w:line="360" w:lineRule="auto"/>
        <w:jc w:val="both"/>
        <w:rPr>
          <w:rFonts w:ascii="Segoe UI" w:eastAsia="Times New Roman" w:hAnsi="Segoe UI" w:cs="Segoe UI"/>
          <w:color w:val="000000"/>
          <w:szCs w:val="24"/>
          <w:lang w:eastAsia="es-CO"/>
        </w:rPr>
      </w:pPr>
      <w:r w:rsidRPr="00530E4F">
        <w:rPr>
          <w:rFonts w:ascii="Segoe UI" w:eastAsia="Times New Roman" w:hAnsi="Segoe UI" w:cs="Segoe UI"/>
          <w:color w:val="000000"/>
          <w:szCs w:val="24"/>
          <w:lang w:eastAsia="es-CO"/>
        </w:rPr>
        <w:t> </w:t>
      </w:r>
    </w:p>
    <w:p w14:paraId="6F9B7F82" w14:textId="5481871D" w:rsidR="00530E4F" w:rsidRPr="00530E4F" w:rsidRDefault="00530E4F" w:rsidP="00530E4F">
      <w:pPr>
        <w:spacing w:after="285" w:line="360" w:lineRule="auto"/>
        <w:jc w:val="both"/>
        <w:outlineLvl w:val="2"/>
        <w:rPr>
          <w:rFonts w:ascii="Segoe UI" w:eastAsia="Times New Roman" w:hAnsi="Segoe UI" w:cs="Segoe UI"/>
          <w:b/>
          <w:bCs/>
          <w:color w:val="000000"/>
          <w:szCs w:val="24"/>
          <w:lang w:eastAsia="es-CO"/>
        </w:rPr>
      </w:pPr>
      <w:r w:rsidRPr="00530E4F">
        <w:rPr>
          <w:rFonts w:ascii="Segoe UI" w:eastAsia="Times New Roman" w:hAnsi="Segoe UI" w:cs="Segoe UI"/>
          <w:b/>
          <w:bCs/>
          <w:color w:val="000000"/>
          <w:szCs w:val="24"/>
          <w:lang w:eastAsia="es-CO"/>
        </w:rPr>
        <w:t>Notas al pie</w:t>
      </w:r>
    </w:p>
    <w:p w14:paraId="4E09D108" w14:textId="77777777" w:rsidR="00530E4F" w:rsidRPr="00530E4F" w:rsidRDefault="00530E4F" w:rsidP="00530E4F">
      <w:pPr>
        <w:numPr>
          <w:ilvl w:val="0"/>
          <w:numId w:val="8"/>
        </w:numPr>
        <w:shd w:val="clear" w:color="auto" w:fill="FFFFFF"/>
        <w:spacing w:before="100" w:beforeAutospacing="1" w:after="100" w:afterAutospacing="1" w:line="360" w:lineRule="auto"/>
        <w:jc w:val="both"/>
        <w:rPr>
          <w:rFonts w:ascii="Segoe UI" w:eastAsia="Times New Roman" w:hAnsi="Segoe UI" w:cs="Segoe UI"/>
          <w:color w:val="000000"/>
          <w:szCs w:val="24"/>
          <w:lang w:eastAsia="es-CO"/>
        </w:rPr>
      </w:pPr>
      <w:hyperlink r:id="rId16" w:anchor="cite_ref-1" w:tooltip="Volver arriba" w:history="1">
        <w:r w:rsidRPr="00530E4F">
          <w:rPr>
            <w:rFonts w:ascii="Segoe UI" w:eastAsia="Times New Roman" w:hAnsi="Segoe UI" w:cs="Segoe UI"/>
            <w:color w:val="0645AD"/>
            <w:szCs w:val="24"/>
            <w:u w:val="single"/>
            <w:lang w:eastAsia="es-CO"/>
          </w:rPr>
          <w:t>↑</w:t>
        </w:r>
      </w:hyperlink>
      <w:r w:rsidRPr="00530E4F">
        <w:rPr>
          <w:rFonts w:ascii="Segoe UI" w:eastAsia="Times New Roman" w:hAnsi="Segoe UI" w:cs="Segoe UI"/>
          <w:color w:val="000000"/>
          <w:szCs w:val="24"/>
          <w:lang w:eastAsia="es-CO"/>
        </w:rPr>
        <w:t xml:space="preserve"> Consejo de Estado Sala de Consulta y Servicio Civil </w:t>
      </w:r>
      <w:proofErr w:type="gramStart"/>
      <w:r w:rsidRPr="00530E4F">
        <w:rPr>
          <w:rFonts w:ascii="Segoe UI" w:eastAsia="Times New Roman" w:hAnsi="Segoe UI" w:cs="Segoe UI"/>
          <w:color w:val="000000"/>
          <w:szCs w:val="24"/>
          <w:lang w:eastAsia="es-CO"/>
        </w:rPr>
        <w:t>Consejero</w:t>
      </w:r>
      <w:proofErr w:type="gramEnd"/>
      <w:r w:rsidRPr="00530E4F">
        <w:rPr>
          <w:rFonts w:ascii="Segoe UI" w:eastAsia="Times New Roman" w:hAnsi="Segoe UI" w:cs="Segoe UI"/>
          <w:color w:val="000000"/>
          <w:szCs w:val="24"/>
          <w:lang w:eastAsia="es-CO"/>
        </w:rPr>
        <w:t xml:space="preserve"> ponente: César Hoyos Salazar Santafé de Bogotá, D.C., veintisiete (27) de octubre de mil novecientos noventa y nueve (1999). - Radicación número: 1227.</w:t>
      </w:r>
    </w:p>
    <w:p w14:paraId="69A4FB9E" w14:textId="77777777" w:rsidR="00530E4F" w:rsidRPr="00530E4F" w:rsidRDefault="00530E4F" w:rsidP="00530E4F">
      <w:pPr>
        <w:numPr>
          <w:ilvl w:val="0"/>
          <w:numId w:val="8"/>
        </w:numPr>
        <w:shd w:val="clear" w:color="auto" w:fill="FFFFFF"/>
        <w:spacing w:before="100" w:beforeAutospacing="1" w:after="100" w:afterAutospacing="1" w:line="360" w:lineRule="auto"/>
        <w:jc w:val="both"/>
        <w:rPr>
          <w:rFonts w:ascii="Segoe UI" w:eastAsia="Times New Roman" w:hAnsi="Segoe UI" w:cs="Segoe UI"/>
          <w:color w:val="000000"/>
          <w:szCs w:val="24"/>
          <w:lang w:eastAsia="es-CO"/>
        </w:rPr>
      </w:pPr>
      <w:hyperlink r:id="rId17" w:anchor="cite_ref-2" w:tooltip="Volver arriba" w:history="1">
        <w:r w:rsidRPr="00530E4F">
          <w:rPr>
            <w:rFonts w:ascii="Segoe UI" w:eastAsia="Times New Roman" w:hAnsi="Segoe UI" w:cs="Segoe UI"/>
            <w:color w:val="0645AD"/>
            <w:szCs w:val="24"/>
            <w:u w:val="single"/>
            <w:lang w:eastAsia="es-CO"/>
          </w:rPr>
          <w:t>↑</w:t>
        </w:r>
      </w:hyperlink>
      <w:r w:rsidRPr="00530E4F">
        <w:rPr>
          <w:rFonts w:ascii="Segoe UI" w:eastAsia="Times New Roman" w:hAnsi="Segoe UI" w:cs="Segoe UI"/>
          <w:color w:val="000000"/>
          <w:szCs w:val="24"/>
          <w:lang w:eastAsia="es-CO"/>
        </w:rPr>
        <w:t> Corte Constitucional - Sentencia C-1107 de 2001 MP Dr. Jaime Araujo Rentería</w:t>
      </w:r>
    </w:p>
    <w:p w14:paraId="762E1D54" w14:textId="77777777" w:rsidR="00530E4F" w:rsidRPr="00530E4F" w:rsidRDefault="00530E4F" w:rsidP="00530E4F">
      <w:pPr>
        <w:spacing w:line="360" w:lineRule="auto"/>
        <w:rPr>
          <w:szCs w:val="24"/>
        </w:rPr>
      </w:pPr>
    </w:p>
    <w:sectPr w:rsidR="00530E4F" w:rsidRPr="00530E4F"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56C84"/>
    <w:multiLevelType w:val="multilevel"/>
    <w:tmpl w:val="B1268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DB14CE"/>
    <w:multiLevelType w:val="multilevel"/>
    <w:tmpl w:val="9266B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4B3B7D"/>
    <w:multiLevelType w:val="multilevel"/>
    <w:tmpl w:val="E7AC5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212EEB"/>
    <w:multiLevelType w:val="multilevel"/>
    <w:tmpl w:val="4E5A5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6037FD"/>
    <w:multiLevelType w:val="multilevel"/>
    <w:tmpl w:val="4F409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4867CC"/>
    <w:multiLevelType w:val="multilevel"/>
    <w:tmpl w:val="B5D41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6106CD"/>
    <w:multiLevelType w:val="multilevel"/>
    <w:tmpl w:val="33CA1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204768"/>
    <w:multiLevelType w:val="multilevel"/>
    <w:tmpl w:val="467A2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697175"/>
    <w:multiLevelType w:val="multilevel"/>
    <w:tmpl w:val="B21EB9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E8452C"/>
    <w:multiLevelType w:val="multilevel"/>
    <w:tmpl w:val="F1A26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F693AC3"/>
    <w:multiLevelType w:val="multilevel"/>
    <w:tmpl w:val="07CC6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59E2013"/>
    <w:multiLevelType w:val="multilevel"/>
    <w:tmpl w:val="76425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F8C2194"/>
    <w:multiLevelType w:val="multilevel"/>
    <w:tmpl w:val="D5CEF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C482CB0"/>
    <w:multiLevelType w:val="multilevel"/>
    <w:tmpl w:val="26806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84124746">
    <w:abstractNumId w:val="4"/>
    <w:lvlOverride w:ilvl="0">
      <w:startOverride w:val="1"/>
    </w:lvlOverride>
  </w:num>
  <w:num w:numId="2" w16cid:durableId="660237413">
    <w:abstractNumId w:val="9"/>
    <w:lvlOverride w:ilvl="0">
      <w:startOverride w:val="2"/>
    </w:lvlOverride>
  </w:num>
  <w:num w:numId="3" w16cid:durableId="753477706">
    <w:abstractNumId w:val="1"/>
    <w:lvlOverride w:ilvl="0">
      <w:startOverride w:val="3"/>
    </w:lvlOverride>
  </w:num>
  <w:num w:numId="4" w16cid:durableId="1584146140">
    <w:abstractNumId w:val="3"/>
    <w:lvlOverride w:ilvl="0">
      <w:startOverride w:val="4"/>
    </w:lvlOverride>
  </w:num>
  <w:num w:numId="5" w16cid:durableId="1844004485">
    <w:abstractNumId w:val="0"/>
    <w:lvlOverride w:ilvl="0">
      <w:startOverride w:val="1"/>
    </w:lvlOverride>
  </w:num>
  <w:num w:numId="6" w16cid:durableId="398023333">
    <w:abstractNumId w:val="5"/>
    <w:lvlOverride w:ilvl="0">
      <w:startOverride w:val="2"/>
    </w:lvlOverride>
  </w:num>
  <w:num w:numId="7" w16cid:durableId="913124939">
    <w:abstractNumId w:val="8"/>
  </w:num>
  <w:num w:numId="8" w16cid:durableId="1287661640">
    <w:abstractNumId w:val="6"/>
  </w:num>
  <w:num w:numId="9" w16cid:durableId="1239049353">
    <w:abstractNumId w:val="13"/>
    <w:lvlOverride w:ilvl="0">
      <w:startOverride w:val="1"/>
    </w:lvlOverride>
  </w:num>
  <w:num w:numId="10" w16cid:durableId="454951123">
    <w:abstractNumId w:val="11"/>
    <w:lvlOverride w:ilvl="0">
      <w:startOverride w:val="2"/>
    </w:lvlOverride>
  </w:num>
  <w:num w:numId="11" w16cid:durableId="1775326939">
    <w:abstractNumId w:val="2"/>
    <w:lvlOverride w:ilvl="0">
      <w:startOverride w:val="3"/>
    </w:lvlOverride>
  </w:num>
  <w:num w:numId="12" w16cid:durableId="994410336">
    <w:abstractNumId w:val="10"/>
    <w:lvlOverride w:ilvl="0">
      <w:startOverride w:val="4"/>
    </w:lvlOverride>
  </w:num>
  <w:num w:numId="13" w16cid:durableId="1408266817">
    <w:abstractNumId w:val="12"/>
    <w:lvlOverride w:ilvl="0">
      <w:startOverride w:val="1"/>
    </w:lvlOverride>
  </w:num>
  <w:num w:numId="14" w16cid:durableId="981421361">
    <w:abstractNumId w:val="7"/>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E4F"/>
    <w:rsid w:val="000F3837"/>
    <w:rsid w:val="001E311E"/>
    <w:rsid w:val="00434AE6"/>
    <w:rsid w:val="00530E4F"/>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93B01"/>
  <w15:chartTrackingRefBased/>
  <w15:docId w15:val="{1659BE24-9D8D-4E74-9ABD-76006696A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30E4F"/>
    <w:pPr>
      <w:spacing w:before="100" w:beforeAutospacing="1" w:after="100" w:afterAutospacing="1" w:line="240" w:lineRule="auto"/>
    </w:pPr>
    <w:rPr>
      <w:rFonts w:eastAsia="Times New Roman" w:cs="Times New Roman"/>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4675">
      <w:bodyDiv w:val="1"/>
      <w:marLeft w:val="0"/>
      <w:marRight w:val="0"/>
      <w:marTop w:val="0"/>
      <w:marBottom w:val="0"/>
      <w:divBdr>
        <w:top w:val="none" w:sz="0" w:space="0" w:color="auto"/>
        <w:left w:val="none" w:sz="0" w:space="0" w:color="auto"/>
        <w:bottom w:val="none" w:sz="0" w:space="0" w:color="auto"/>
        <w:right w:val="none" w:sz="0" w:space="0" w:color="auto"/>
      </w:divBdr>
    </w:div>
    <w:div w:id="202137236">
      <w:bodyDiv w:val="1"/>
      <w:marLeft w:val="0"/>
      <w:marRight w:val="0"/>
      <w:marTop w:val="0"/>
      <w:marBottom w:val="0"/>
      <w:divBdr>
        <w:top w:val="none" w:sz="0" w:space="0" w:color="auto"/>
        <w:left w:val="none" w:sz="0" w:space="0" w:color="auto"/>
        <w:bottom w:val="none" w:sz="0" w:space="0" w:color="auto"/>
        <w:right w:val="none" w:sz="0" w:space="0" w:color="auto"/>
      </w:divBdr>
    </w:div>
    <w:div w:id="427390700">
      <w:bodyDiv w:val="1"/>
      <w:marLeft w:val="0"/>
      <w:marRight w:val="0"/>
      <w:marTop w:val="0"/>
      <w:marBottom w:val="0"/>
      <w:divBdr>
        <w:top w:val="none" w:sz="0" w:space="0" w:color="auto"/>
        <w:left w:val="none" w:sz="0" w:space="0" w:color="auto"/>
        <w:bottom w:val="none" w:sz="0" w:space="0" w:color="auto"/>
        <w:right w:val="none" w:sz="0" w:space="0" w:color="auto"/>
      </w:divBdr>
    </w:div>
    <w:div w:id="2019385951">
      <w:bodyDiv w:val="1"/>
      <w:marLeft w:val="0"/>
      <w:marRight w:val="0"/>
      <w:marTop w:val="0"/>
      <w:marBottom w:val="0"/>
      <w:divBdr>
        <w:top w:val="none" w:sz="0" w:space="0" w:color="auto"/>
        <w:left w:val="none" w:sz="0" w:space="0" w:color="auto"/>
        <w:bottom w:val="none" w:sz="0" w:space="0" w:color="auto"/>
        <w:right w:val="none" w:sz="0" w:space="0" w:color="auto"/>
      </w:divBdr>
    </w:div>
    <w:div w:id="201996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790" TargetMode="External"/><Relationship Id="rId13" Type="http://schemas.openxmlformats.org/officeDocument/2006/relationships/hyperlink" Target="https://www.ceta.org.co/html/vista_de_un_articulo.asp?Norma=79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eta.org.co/html/vista_de_un_articulo.asp?Norma=790" TargetMode="External"/><Relationship Id="rId12" Type="http://schemas.openxmlformats.org/officeDocument/2006/relationships/hyperlink" Target="https://www.ceta.org.co/html/vista_de_un_articulo.asp?Norma=795" TargetMode="External"/><Relationship Id="rId17" Type="http://schemas.openxmlformats.org/officeDocument/2006/relationships/hyperlink" Target="https://www.ceta.org.co/html/vista_de_un_documento.asp?DocumentoID=45546" TargetMode="External"/><Relationship Id="rId2" Type="http://schemas.openxmlformats.org/officeDocument/2006/relationships/styles" Target="styles.xml"/><Relationship Id="rId16" Type="http://schemas.openxmlformats.org/officeDocument/2006/relationships/hyperlink" Target="https://www.ceta.org.co/html/vista_de_un_documento.asp?DocumentoID=45546" TargetMode="External"/><Relationship Id="rId1" Type="http://schemas.openxmlformats.org/officeDocument/2006/relationships/numbering" Target="numbering.xml"/><Relationship Id="rId6" Type="http://schemas.openxmlformats.org/officeDocument/2006/relationships/hyperlink" Target="https://www.ceta.org.co/html/vista_de_un_articulo.asp?Norma=790" TargetMode="External"/><Relationship Id="rId11" Type="http://schemas.openxmlformats.org/officeDocument/2006/relationships/hyperlink" Target="https://www.ceta.org.co/html/vista_de_un_articulo.asp?Norma=798" TargetMode="External"/><Relationship Id="rId5" Type="http://schemas.openxmlformats.org/officeDocument/2006/relationships/hyperlink" Target="https://www.ceta.org.co/html/vista_de_un_articulo.asp?Norma=1004" TargetMode="External"/><Relationship Id="rId15" Type="http://schemas.openxmlformats.org/officeDocument/2006/relationships/hyperlink" Target="https://www.ceta.org.co/html/vista_de_un_documento.asp?DocumentoID=45546" TargetMode="External"/><Relationship Id="rId10" Type="http://schemas.openxmlformats.org/officeDocument/2006/relationships/hyperlink" Target="https://www.ceta.org.co/html/vista_de_un_articulo.asp?Norma=79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eta.org.co/html/vista_de_un_articulo.asp?Norma=1078" TargetMode="External"/><Relationship Id="rId14" Type="http://schemas.openxmlformats.org/officeDocument/2006/relationships/hyperlink" Target="https://www.ceta.org.co/html/vista_de_un_documento.asp?DocumentoID=4554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1953</Words>
  <Characters>10744</Characters>
  <Application>Microsoft Office Word</Application>
  <DocSecurity>0</DocSecurity>
  <Lines>89</Lines>
  <Paragraphs>25</Paragraphs>
  <ScaleCrop>false</ScaleCrop>
  <Company/>
  <LinksUpToDate>false</LinksUpToDate>
  <CharactersWithSpaces>12672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2023-01-14T14:37:00Z</dcterms:created>
  <dcterms:modified xsi:type="dcterms:W3CDTF">2023-01-14T14:43:00Z</dcterms:modified>
</cp:coreProperties>
</file>