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C837" w14:textId="77777777" w:rsidR="00F678B7" w:rsidRPr="005547DA" w:rsidRDefault="00F678B7" w:rsidP="00F678B7">
      <w:pPr>
        <w:shd w:val="clear" w:color="auto" w:fill="FFFFFF"/>
        <w:spacing w:after="150" w:line="360" w:lineRule="auto"/>
        <w:jc w:val="center"/>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br/>
        <w:t>Concepto 730 [006107]</w:t>
      </w:r>
    </w:p>
    <w:p w14:paraId="5D0ED5D9" w14:textId="77777777" w:rsidR="00F678B7" w:rsidRPr="005547DA" w:rsidRDefault="00F678B7" w:rsidP="00F678B7">
      <w:pPr>
        <w:shd w:val="clear" w:color="auto" w:fill="FFFFFF"/>
        <w:spacing w:after="150" w:line="360" w:lineRule="auto"/>
        <w:jc w:val="center"/>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30-08-2024</w:t>
      </w:r>
    </w:p>
    <w:p w14:paraId="1D2EC6F1" w14:textId="77777777" w:rsidR="00F678B7" w:rsidRPr="005547DA" w:rsidRDefault="00F678B7" w:rsidP="00F678B7">
      <w:pPr>
        <w:shd w:val="clear" w:color="auto" w:fill="FFFFFF"/>
        <w:spacing w:after="150" w:line="360" w:lineRule="auto"/>
        <w:jc w:val="center"/>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DIAN</w:t>
      </w:r>
    </w:p>
    <w:p w14:paraId="0A11DFD7" w14:textId="052A6E24" w:rsidR="00F678B7" w:rsidRPr="005547DA" w:rsidRDefault="00F678B7" w:rsidP="00D02AF9">
      <w:pPr>
        <w:shd w:val="clear" w:color="auto" w:fill="FFFFFF"/>
        <w:spacing w:after="150" w:line="360" w:lineRule="auto"/>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 100208192-730</w:t>
      </w:r>
    </w:p>
    <w:p w14:paraId="180D112B" w14:textId="14AB48BB"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Bogotá, D.C.</w:t>
      </w:r>
    </w:p>
    <w:p w14:paraId="48584F06"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1"/>
        <w:gridCol w:w="7605"/>
      </w:tblGrid>
      <w:tr w:rsidR="005547DA" w:rsidRPr="005547DA" w14:paraId="0F6C85C7" w14:textId="77777777" w:rsidTr="00F678B7">
        <w:tc>
          <w:tcPr>
            <w:tcW w:w="0" w:type="auto"/>
            <w:shd w:val="clear" w:color="auto" w:fill="FFFFFF"/>
            <w:tcMar>
              <w:top w:w="0" w:type="dxa"/>
              <w:left w:w="0" w:type="dxa"/>
              <w:bottom w:w="0" w:type="dxa"/>
              <w:right w:w="0" w:type="dxa"/>
            </w:tcMar>
            <w:hideMark/>
          </w:tcPr>
          <w:p w14:paraId="7EDC800D" w14:textId="77777777" w:rsidR="00F678B7" w:rsidRPr="005547DA" w:rsidRDefault="00F678B7" w:rsidP="00F678B7">
            <w:pPr>
              <w:spacing w:after="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Tema:</w:t>
            </w:r>
          </w:p>
        </w:tc>
        <w:tc>
          <w:tcPr>
            <w:tcW w:w="0" w:type="auto"/>
            <w:shd w:val="clear" w:color="auto" w:fill="FFFFFF"/>
            <w:tcMar>
              <w:top w:w="0" w:type="dxa"/>
              <w:left w:w="0" w:type="dxa"/>
              <w:bottom w:w="0" w:type="dxa"/>
              <w:right w:w="0" w:type="dxa"/>
            </w:tcMar>
            <w:hideMark/>
          </w:tcPr>
          <w:p w14:paraId="6C2981FC" w14:textId="77777777" w:rsidR="00F678B7" w:rsidRPr="005547DA" w:rsidRDefault="00F678B7" w:rsidP="00F678B7">
            <w:pPr>
              <w:spacing w:after="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Impuesto sobre las Ganancias Ocasionales</w:t>
            </w:r>
          </w:p>
        </w:tc>
      </w:tr>
      <w:tr w:rsidR="005547DA" w:rsidRPr="005547DA" w14:paraId="15CE3ED1" w14:textId="77777777" w:rsidTr="00F678B7">
        <w:tc>
          <w:tcPr>
            <w:tcW w:w="0" w:type="auto"/>
            <w:shd w:val="clear" w:color="auto" w:fill="FFFFFF"/>
            <w:tcMar>
              <w:top w:w="0" w:type="dxa"/>
              <w:left w:w="0" w:type="dxa"/>
              <w:bottom w:w="0" w:type="dxa"/>
              <w:right w:w="0" w:type="dxa"/>
            </w:tcMar>
            <w:hideMark/>
          </w:tcPr>
          <w:p w14:paraId="5154E60E" w14:textId="77777777" w:rsidR="00F678B7" w:rsidRPr="005547DA" w:rsidRDefault="00F678B7" w:rsidP="00F678B7">
            <w:pPr>
              <w:spacing w:after="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Descriptores:</w:t>
            </w:r>
          </w:p>
        </w:tc>
        <w:tc>
          <w:tcPr>
            <w:tcW w:w="0" w:type="auto"/>
            <w:shd w:val="clear" w:color="auto" w:fill="FFFFFF"/>
            <w:tcMar>
              <w:top w:w="0" w:type="dxa"/>
              <w:left w:w="0" w:type="dxa"/>
              <w:bottom w:w="0" w:type="dxa"/>
              <w:right w:w="0" w:type="dxa"/>
            </w:tcMar>
            <w:hideMark/>
          </w:tcPr>
          <w:p w14:paraId="410A7ADB" w14:textId="77777777" w:rsidR="00F678B7" w:rsidRPr="005547DA" w:rsidRDefault="00F678B7" w:rsidP="00F678B7">
            <w:pPr>
              <w:spacing w:after="150" w:line="360" w:lineRule="auto"/>
              <w:jc w:val="both"/>
              <w:rPr>
                <w:rFonts w:ascii="Century Gothic" w:eastAsia="Times New Roman" w:hAnsi="Century Gothic" w:cs="Helvetica"/>
                <w:kern w:val="0"/>
                <w:sz w:val="21"/>
                <w:szCs w:val="21"/>
                <w:highlight w:val="yellow"/>
                <w:lang w:eastAsia="es-CO"/>
                <w14:ligatures w14:val="none"/>
              </w:rPr>
            </w:pPr>
            <w:r w:rsidRPr="005547DA">
              <w:rPr>
                <w:rFonts w:ascii="Century Gothic" w:eastAsia="Times New Roman" w:hAnsi="Century Gothic" w:cs="Helvetica"/>
                <w:kern w:val="0"/>
                <w:sz w:val="21"/>
                <w:szCs w:val="21"/>
                <w:highlight w:val="yellow"/>
                <w:lang w:eastAsia="es-CO"/>
                <w14:ligatures w14:val="none"/>
              </w:rPr>
              <w:t>Descuento tributario</w:t>
            </w:r>
          </w:p>
          <w:p w14:paraId="4A18003F" w14:textId="77777777" w:rsidR="00F678B7" w:rsidRPr="005547DA" w:rsidRDefault="00F678B7" w:rsidP="00F678B7">
            <w:pPr>
              <w:spacing w:after="0" w:line="360" w:lineRule="auto"/>
              <w:jc w:val="both"/>
              <w:rPr>
                <w:rFonts w:ascii="Century Gothic" w:eastAsia="Times New Roman" w:hAnsi="Century Gothic" w:cs="Helvetica"/>
                <w:kern w:val="0"/>
                <w:sz w:val="21"/>
                <w:szCs w:val="21"/>
                <w:highlight w:val="yellow"/>
                <w:lang w:eastAsia="es-CO"/>
                <w14:ligatures w14:val="none"/>
              </w:rPr>
            </w:pPr>
            <w:r w:rsidRPr="005547DA">
              <w:rPr>
                <w:rFonts w:ascii="Century Gothic" w:eastAsia="Times New Roman" w:hAnsi="Century Gothic" w:cs="Helvetica"/>
                <w:kern w:val="0"/>
                <w:sz w:val="21"/>
                <w:szCs w:val="21"/>
                <w:highlight w:val="yellow"/>
                <w:lang w:eastAsia="es-CO"/>
                <w14:ligatures w14:val="none"/>
              </w:rPr>
              <w:t>Donación a entidades del Régimen Tributario Especial (RTE) y no declarantes</w:t>
            </w:r>
          </w:p>
        </w:tc>
      </w:tr>
      <w:tr w:rsidR="005547DA" w:rsidRPr="005547DA" w14:paraId="55322DC3" w14:textId="77777777" w:rsidTr="00F678B7">
        <w:tc>
          <w:tcPr>
            <w:tcW w:w="0" w:type="auto"/>
            <w:shd w:val="clear" w:color="auto" w:fill="FFFFFF"/>
            <w:tcMar>
              <w:top w:w="0" w:type="dxa"/>
              <w:left w:w="0" w:type="dxa"/>
              <w:bottom w:w="0" w:type="dxa"/>
              <w:right w:w="0" w:type="dxa"/>
            </w:tcMar>
            <w:hideMark/>
          </w:tcPr>
          <w:p w14:paraId="244C87CF" w14:textId="77777777" w:rsidR="00F678B7" w:rsidRPr="005547DA" w:rsidRDefault="00F678B7" w:rsidP="00F678B7">
            <w:pPr>
              <w:spacing w:after="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Fuentes formales:</w:t>
            </w:r>
          </w:p>
        </w:tc>
        <w:tc>
          <w:tcPr>
            <w:tcW w:w="0" w:type="auto"/>
            <w:shd w:val="clear" w:color="auto" w:fill="FFFFFF"/>
            <w:tcMar>
              <w:top w:w="0" w:type="dxa"/>
              <w:left w:w="0" w:type="dxa"/>
              <w:bottom w:w="0" w:type="dxa"/>
              <w:right w:w="0" w:type="dxa"/>
            </w:tcMar>
            <w:hideMark/>
          </w:tcPr>
          <w:p w14:paraId="2702C64D" w14:textId="77777777" w:rsidR="00F678B7" w:rsidRPr="005547DA" w:rsidRDefault="00F678B7" w:rsidP="00F678B7">
            <w:pPr>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Artículos </w:t>
            </w:r>
            <w:r w:rsidRPr="005547DA">
              <w:rPr>
                <w:rFonts w:ascii="Century Gothic" w:eastAsia="Times New Roman" w:hAnsi="Century Gothic" w:cs="Helvetica"/>
                <w:kern w:val="0"/>
                <w:sz w:val="21"/>
                <w:szCs w:val="21"/>
                <w:u w:val="single"/>
                <w:lang w:eastAsia="es-CO"/>
                <w14:ligatures w14:val="none"/>
              </w:rPr>
              <w:t>22</w:t>
            </w:r>
            <w:r w:rsidRPr="005547DA">
              <w:rPr>
                <w:rFonts w:ascii="Century Gothic" w:eastAsia="Times New Roman" w:hAnsi="Century Gothic" w:cs="Helvetica"/>
                <w:kern w:val="0"/>
                <w:sz w:val="21"/>
                <w:szCs w:val="21"/>
                <w:lang w:eastAsia="es-CO"/>
                <w14:ligatures w14:val="none"/>
              </w:rPr>
              <w:t>, </w:t>
            </w:r>
            <w:r w:rsidRPr="005547DA">
              <w:rPr>
                <w:rFonts w:ascii="Century Gothic" w:eastAsia="Times New Roman" w:hAnsi="Century Gothic" w:cs="Helvetica"/>
                <w:kern w:val="0"/>
                <w:sz w:val="21"/>
                <w:szCs w:val="21"/>
                <w:u w:val="single"/>
                <w:lang w:eastAsia="es-CO"/>
                <w14:ligatures w14:val="none"/>
              </w:rPr>
              <w:t>23</w:t>
            </w:r>
            <w:r w:rsidRPr="005547DA">
              <w:rPr>
                <w:rFonts w:ascii="Century Gothic" w:eastAsia="Times New Roman" w:hAnsi="Century Gothic" w:cs="Helvetica"/>
                <w:kern w:val="0"/>
                <w:sz w:val="21"/>
                <w:szCs w:val="21"/>
                <w:lang w:eastAsia="es-CO"/>
                <w14:ligatures w14:val="none"/>
              </w:rPr>
              <w:t>,</w:t>
            </w:r>
            <w:r w:rsidRPr="005547DA">
              <w:rPr>
                <w:rFonts w:ascii="Century Gothic" w:eastAsia="Times New Roman" w:hAnsi="Century Gothic" w:cs="Helvetica"/>
                <w:kern w:val="0"/>
                <w:sz w:val="21"/>
                <w:szCs w:val="21"/>
                <w:u w:val="single"/>
                <w:lang w:eastAsia="es-CO"/>
                <w14:ligatures w14:val="none"/>
              </w:rPr>
              <w:t>125-2</w:t>
            </w:r>
            <w:r w:rsidRPr="005547DA">
              <w:rPr>
                <w:rFonts w:ascii="Century Gothic" w:eastAsia="Times New Roman" w:hAnsi="Century Gothic" w:cs="Helvetica"/>
                <w:kern w:val="0"/>
                <w:sz w:val="21"/>
                <w:szCs w:val="21"/>
                <w:lang w:eastAsia="es-CO"/>
                <w14:ligatures w14:val="none"/>
              </w:rPr>
              <w:t>, </w:t>
            </w:r>
            <w:r w:rsidRPr="005547DA">
              <w:rPr>
                <w:rFonts w:ascii="Century Gothic" w:eastAsia="Times New Roman" w:hAnsi="Century Gothic" w:cs="Helvetica"/>
                <w:kern w:val="0"/>
                <w:sz w:val="21"/>
                <w:szCs w:val="21"/>
                <w:u w:val="single"/>
                <w:lang w:eastAsia="es-CO"/>
                <w14:ligatures w14:val="none"/>
              </w:rPr>
              <w:t>256</w:t>
            </w:r>
            <w:r w:rsidRPr="005547DA">
              <w:rPr>
                <w:rFonts w:ascii="Century Gothic" w:eastAsia="Times New Roman" w:hAnsi="Century Gothic" w:cs="Helvetica"/>
                <w:kern w:val="0"/>
                <w:sz w:val="21"/>
                <w:szCs w:val="21"/>
                <w:lang w:eastAsia="es-CO"/>
                <w14:ligatures w14:val="none"/>
              </w:rPr>
              <w:t> del Estatuto Tributario.</w:t>
            </w:r>
          </w:p>
          <w:p w14:paraId="307E30FF" w14:textId="77777777" w:rsidR="00F678B7" w:rsidRPr="005547DA" w:rsidRDefault="00F678B7" w:rsidP="00F678B7">
            <w:pPr>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Artículo 1.2.1.4.3 del Decreto 1625 de 2016.</w:t>
            </w:r>
          </w:p>
          <w:p w14:paraId="742A62E0" w14:textId="77777777" w:rsidR="00F678B7" w:rsidRPr="005547DA" w:rsidRDefault="00F678B7" w:rsidP="00F678B7">
            <w:pPr>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Artículos 1443 y 1458 del Código Civil.</w:t>
            </w:r>
          </w:p>
          <w:p w14:paraId="19202D14" w14:textId="77777777" w:rsidR="00F678B7" w:rsidRPr="005547DA" w:rsidRDefault="00F678B7" w:rsidP="00F678B7">
            <w:pPr>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Artículo 165 del Código General del Proceso.</w:t>
            </w:r>
          </w:p>
          <w:p w14:paraId="026E1BEE" w14:textId="77777777" w:rsidR="00F678B7" w:rsidRPr="005547DA" w:rsidRDefault="00F678B7" w:rsidP="00F678B7">
            <w:pPr>
              <w:spacing w:after="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Artículo 3 del Decreto 1712 de 1989.</w:t>
            </w:r>
          </w:p>
        </w:tc>
      </w:tr>
    </w:tbl>
    <w:p w14:paraId="01126371"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 </w:t>
      </w:r>
    </w:p>
    <w:p w14:paraId="24CD86D1" w14:textId="6CBF7C50"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4" w:anchor="cite_note-1" w:history="1">
        <w:r w:rsidRPr="005547DA">
          <w:rPr>
            <w:rFonts w:ascii="Century Gothic" w:eastAsia="Times New Roman" w:hAnsi="Century Gothic" w:cs="Helvetica"/>
            <w:kern w:val="0"/>
            <w:sz w:val="16"/>
            <w:szCs w:val="16"/>
            <w:u w:val="single"/>
            <w:vertAlign w:val="superscript"/>
            <w:lang w:eastAsia="es-CO"/>
            <w14:ligatures w14:val="none"/>
          </w:rPr>
          <w:t>1</w:t>
        </w:r>
      </w:hyperlink>
      <w:r w:rsidRPr="005547DA">
        <w:rPr>
          <w:rFonts w:ascii="Century Gothic" w:eastAsia="Times New Roman" w:hAnsi="Century Gothic" w:cs="Helvetica"/>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5" w:anchor="cite_note-2" w:history="1">
        <w:r w:rsidRPr="005547DA">
          <w:rPr>
            <w:rFonts w:ascii="Century Gothic" w:eastAsia="Times New Roman" w:hAnsi="Century Gothic" w:cs="Helvetica"/>
            <w:kern w:val="0"/>
            <w:sz w:val="16"/>
            <w:szCs w:val="16"/>
            <w:u w:val="single"/>
            <w:vertAlign w:val="superscript"/>
            <w:lang w:eastAsia="es-CO"/>
            <w14:ligatures w14:val="none"/>
          </w:rPr>
          <w:t>2</w:t>
        </w:r>
      </w:hyperlink>
      <w:r w:rsidRPr="005547DA">
        <w:rPr>
          <w:rFonts w:ascii="Century Gothic" w:eastAsia="Times New Roman" w:hAnsi="Century Gothic" w:cs="Helvetica"/>
          <w:kern w:val="0"/>
          <w:sz w:val="21"/>
          <w:szCs w:val="21"/>
          <w:lang w:eastAsia="es-CO"/>
          <w14:ligatures w14:val="none"/>
        </w:rPr>
        <w:t>.</w:t>
      </w:r>
    </w:p>
    <w:p w14:paraId="2390A9A1" w14:textId="6D89284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highlight w:val="yellow"/>
          <w:lang w:eastAsia="es-CO"/>
          <w14:ligatures w14:val="none"/>
        </w:rPr>
      </w:pPr>
      <w:r w:rsidRPr="005547DA">
        <w:rPr>
          <w:rFonts w:ascii="Century Gothic" w:eastAsia="Times New Roman" w:hAnsi="Century Gothic" w:cs="Helvetica"/>
          <w:b/>
          <w:bCs/>
          <w:kern w:val="0"/>
          <w:sz w:val="21"/>
          <w:szCs w:val="21"/>
          <w:highlight w:val="yellow"/>
          <w:lang w:eastAsia="es-CO"/>
          <w14:ligatures w14:val="none"/>
        </w:rPr>
        <w:t>Problema Jurídico #1.</w:t>
      </w:r>
    </w:p>
    <w:p w14:paraId="3FD9666B" w14:textId="0EB558A9"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yellow"/>
          <w:lang w:eastAsia="es-CO"/>
          <w14:ligatures w14:val="none"/>
        </w:rPr>
        <w:t>¿Es necesario contar con un informe de avalúo del valor comercial del bien donado, para que las entidades sin ánimo de lucro del RTE y las entidades no contribuyentes de los artículos </w:t>
      </w:r>
      <w:r w:rsidRPr="005547DA">
        <w:rPr>
          <w:rFonts w:ascii="Century Gothic" w:eastAsia="Times New Roman" w:hAnsi="Century Gothic" w:cs="Helvetica"/>
          <w:kern w:val="0"/>
          <w:sz w:val="21"/>
          <w:szCs w:val="21"/>
          <w:highlight w:val="yellow"/>
          <w:u w:val="single"/>
          <w:lang w:eastAsia="es-CO"/>
          <w14:ligatures w14:val="none"/>
        </w:rPr>
        <w:t>22</w:t>
      </w:r>
      <w:r w:rsidRPr="005547DA">
        <w:rPr>
          <w:rFonts w:ascii="Century Gothic" w:eastAsia="Times New Roman" w:hAnsi="Century Gothic" w:cs="Helvetica"/>
          <w:kern w:val="0"/>
          <w:sz w:val="21"/>
          <w:szCs w:val="21"/>
          <w:highlight w:val="yellow"/>
          <w:lang w:eastAsia="es-CO"/>
          <w14:ligatures w14:val="none"/>
        </w:rPr>
        <w:t> y </w:t>
      </w:r>
      <w:r w:rsidRPr="005547DA">
        <w:rPr>
          <w:rFonts w:ascii="Century Gothic" w:eastAsia="Times New Roman" w:hAnsi="Century Gothic" w:cs="Helvetica"/>
          <w:kern w:val="0"/>
          <w:sz w:val="21"/>
          <w:szCs w:val="21"/>
          <w:highlight w:val="yellow"/>
          <w:u w:val="single"/>
          <w:lang w:eastAsia="es-CO"/>
          <w14:ligatures w14:val="none"/>
        </w:rPr>
        <w:t>23</w:t>
      </w:r>
      <w:r w:rsidRPr="005547DA">
        <w:rPr>
          <w:rFonts w:ascii="Century Gothic" w:eastAsia="Times New Roman" w:hAnsi="Century Gothic" w:cs="Helvetica"/>
          <w:kern w:val="0"/>
          <w:sz w:val="21"/>
          <w:szCs w:val="21"/>
          <w:highlight w:val="yellow"/>
          <w:lang w:eastAsia="es-CO"/>
          <w14:ligatures w14:val="none"/>
        </w:rPr>
        <w:t> del Estatuto Tributario puedan emitir un certificado de donación valido para efectos fiscales?</w:t>
      </w:r>
    </w:p>
    <w:p w14:paraId="7B453B5F" w14:textId="36E87865"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highlight w:val="yellow"/>
          <w:lang w:eastAsia="es-CO"/>
          <w14:ligatures w14:val="none"/>
        </w:rPr>
      </w:pPr>
      <w:r w:rsidRPr="005547DA">
        <w:rPr>
          <w:rFonts w:ascii="Century Gothic" w:eastAsia="Times New Roman" w:hAnsi="Century Gothic" w:cs="Helvetica"/>
          <w:b/>
          <w:bCs/>
          <w:kern w:val="0"/>
          <w:sz w:val="21"/>
          <w:szCs w:val="21"/>
          <w:highlight w:val="yellow"/>
          <w:lang w:eastAsia="es-CO"/>
          <w14:ligatures w14:val="none"/>
        </w:rPr>
        <w:t>Tesis Jurídica #1.</w:t>
      </w:r>
    </w:p>
    <w:p w14:paraId="680232B1" w14:textId="6005E042"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yellow"/>
          <w:lang w:eastAsia="es-CO"/>
          <w14:ligatures w14:val="none"/>
        </w:rPr>
        <w:t>No.</w:t>
      </w:r>
      <w:r w:rsidRPr="005547DA">
        <w:rPr>
          <w:rFonts w:ascii="Century Gothic" w:eastAsia="Times New Roman" w:hAnsi="Century Gothic" w:cs="Helvetica"/>
          <w:kern w:val="0"/>
          <w:sz w:val="21"/>
          <w:szCs w:val="21"/>
          <w:lang w:eastAsia="es-CO"/>
          <w14:ligatures w14:val="none"/>
        </w:rPr>
        <w:t xml:space="preserve"> Para determinar el valor final del bien donado, que se reflejará en el certificado emitido por la entidad donataria, el valor comercial, que se comparará con el costo fiscal, debe ser demostrado con cualquier medio de prueba que acredite «fehacientemente» su valor.</w:t>
      </w:r>
    </w:p>
    <w:p w14:paraId="6D05F667" w14:textId="310323DC"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Fundamentación</w:t>
      </w:r>
    </w:p>
    <w:p w14:paraId="368FC679" w14:textId="31FFC88E"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 xml:space="preserve">El artículo 1443 del Código Civil, define a la donación como: </w:t>
      </w:r>
      <w:r w:rsidRPr="005547DA">
        <w:rPr>
          <w:rFonts w:ascii="Century Gothic" w:eastAsia="Times New Roman" w:hAnsi="Century Gothic" w:cs="Helvetica"/>
          <w:kern w:val="0"/>
          <w:sz w:val="21"/>
          <w:szCs w:val="21"/>
          <w:highlight w:val="cyan"/>
          <w:lang w:eastAsia="es-CO"/>
          <w14:ligatures w14:val="none"/>
        </w:rPr>
        <w:t>«La donación entre vivos es un acto por el cual una persona transfiere (donante), gratuita e irrevocablemente, una parte de sus bienes a otra persona (donatario) que la acepta».</w:t>
      </w:r>
      <w:r w:rsidRPr="005547DA">
        <w:rPr>
          <w:rFonts w:ascii="Century Gothic" w:eastAsia="Times New Roman" w:hAnsi="Century Gothic" w:cs="Helvetica"/>
          <w:kern w:val="0"/>
          <w:sz w:val="21"/>
          <w:szCs w:val="21"/>
          <w:lang w:eastAsia="es-CO"/>
          <w14:ligatures w14:val="none"/>
        </w:rPr>
        <w:t xml:space="preserve"> Se caracteriza, entonces, como </w:t>
      </w:r>
      <w:r w:rsidRPr="005547DA">
        <w:rPr>
          <w:rFonts w:ascii="Century Gothic" w:eastAsia="Times New Roman" w:hAnsi="Century Gothic" w:cs="Helvetica"/>
          <w:kern w:val="0"/>
          <w:sz w:val="21"/>
          <w:szCs w:val="21"/>
          <w:lang w:eastAsia="es-CO"/>
          <w14:ligatures w14:val="none"/>
        </w:rPr>
        <w:lastRenderedPageBreak/>
        <w:t>un negocio jurídico gratuito mediado por el ánimo de liberalidad del donante a favor del donatario</w:t>
      </w:r>
      <w:hyperlink r:id="rId6" w:anchor="cite_note-3" w:history="1">
        <w:r w:rsidRPr="005547DA">
          <w:rPr>
            <w:rFonts w:ascii="Century Gothic" w:eastAsia="Times New Roman" w:hAnsi="Century Gothic" w:cs="Helvetica"/>
            <w:kern w:val="0"/>
            <w:sz w:val="16"/>
            <w:szCs w:val="16"/>
            <w:u w:val="single"/>
            <w:vertAlign w:val="superscript"/>
            <w:lang w:eastAsia="es-CO"/>
            <w14:ligatures w14:val="none"/>
          </w:rPr>
          <w:t>3</w:t>
        </w:r>
      </w:hyperlink>
      <w:r w:rsidRPr="005547DA">
        <w:rPr>
          <w:rFonts w:ascii="Century Gothic" w:eastAsia="Times New Roman" w:hAnsi="Century Gothic" w:cs="Helvetica"/>
          <w:kern w:val="0"/>
          <w:sz w:val="21"/>
          <w:szCs w:val="21"/>
          <w:lang w:eastAsia="es-CO"/>
          <w14:ligatures w14:val="none"/>
        </w:rPr>
        <w:t>, al cual el legislador le ha adscrito ciertas solemnidades especiales.</w:t>
      </w:r>
    </w:p>
    <w:p w14:paraId="44322F1E" w14:textId="56445F05"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cyan"/>
          <w:lang w:eastAsia="es-CO"/>
          <w14:ligatures w14:val="none"/>
        </w:rPr>
        <w:t>La insinuación de la donación ante notario es un ejemplo de estas solemnidades</w:t>
      </w:r>
      <w:r w:rsidRPr="005547DA">
        <w:rPr>
          <w:rFonts w:ascii="Century Gothic" w:eastAsia="Times New Roman" w:hAnsi="Century Gothic" w:cs="Helvetica"/>
          <w:kern w:val="0"/>
          <w:sz w:val="21"/>
          <w:szCs w:val="21"/>
          <w:lang w:eastAsia="es-CO"/>
          <w14:ligatures w14:val="none"/>
        </w:rPr>
        <w:t xml:space="preserve">. </w:t>
      </w:r>
      <w:r w:rsidRPr="005547DA">
        <w:rPr>
          <w:rFonts w:ascii="Century Gothic" w:eastAsia="Times New Roman" w:hAnsi="Century Gothic" w:cs="Helvetica"/>
          <w:kern w:val="0"/>
          <w:sz w:val="21"/>
          <w:szCs w:val="21"/>
          <w:highlight w:val="cyan"/>
          <w:lang w:eastAsia="es-CO"/>
          <w14:ligatures w14:val="none"/>
        </w:rPr>
        <w:t xml:space="preserve">Según el artículo 1458 del Código Civil, modificado por el artículo 1 del Decreto 1712 de 1989, las donaciones cuyo valor exceda la suma de 50 </w:t>
      </w:r>
      <w:proofErr w:type="spellStart"/>
      <w:r w:rsidRPr="005547DA">
        <w:rPr>
          <w:rFonts w:ascii="Century Gothic" w:eastAsia="Times New Roman" w:hAnsi="Century Gothic" w:cs="Helvetica"/>
          <w:kern w:val="0"/>
          <w:sz w:val="21"/>
          <w:szCs w:val="21"/>
          <w:highlight w:val="cyan"/>
          <w:lang w:eastAsia="es-CO"/>
          <w14:ligatures w14:val="none"/>
        </w:rPr>
        <w:t>smlmv</w:t>
      </w:r>
      <w:proofErr w:type="spellEnd"/>
      <w:r w:rsidRPr="005547DA">
        <w:rPr>
          <w:rFonts w:ascii="Century Gothic" w:eastAsia="Times New Roman" w:hAnsi="Century Gothic" w:cs="Helvetica"/>
          <w:kern w:val="0"/>
          <w:sz w:val="21"/>
          <w:szCs w:val="21"/>
          <w:highlight w:val="cyan"/>
          <w:lang w:eastAsia="es-CO"/>
          <w14:ligatures w14:val="none"/>
        </w:rPr>
        <w:t xml:space="preserve"> deberán ser autorizadas mediante escritura pública. Lo anterior, siempre que se observen los requisitos </w:t>
      </w:r>
      <w:r w:rsidRPr="005547DA">
        <w:rPr>
          <w:rFonts w:ascii="Century Gothic" w:eastAsia="Times New Roman" w:hAnsi="Century Gothic" w:cs="Helvetica"/>
          <w:i/>
          <w:iCs/>
          <w:kern w:val="0"/>
          <w:sz w:val="21"/>
          <w:szCs w:val="21"/>
          <w:highlight w:val="cyan"/>
          <w:lang w:eastAsia="es-CO"/>
          <w14:ligatures w14:val="none"/>
        </w:rPr>
        <w:t xml:space="preserve">ad </w:t>
      </w:r>
      <w:proofErr w:type="spellStart"/>
      <w:r w:rsidRPr="005547DA">
        <w:rPr>
          <w:rFonts w:ascii="Century Gothic" w:eastAsia="Times New Roman" w:hAnsi="Century Gothic" w:cs="Helvetica"/>
          <w:i/>
          <w:iCs/>
          <w:kern w:val="0"/>
          <w:sz w:val="21"/>
          <w:szCs w:val="21"/>
          <w:highlight w:val="cyan"/>
          <w:lang w:eastAsia="es-CO"/>
          <w14:ligatures w14:val="none"/>
        </w:rPr>
        <w:t>sustantian</w:t>
      </w:r>
      <w:proofErr w:type="spellEnd"/>
      <w:r w:rsidRPr="005547DA">
        <w:rPr>
          <w:rFonts w:ascii="Century Gothic" w:eastAsia="Times New Roman" w:hAnsi="Century Gothic" w:cs="Helvetica"/>
          <w:i/>
          <w:iCs/>
          <w:kern w:val="0"/>
          <w:sz w:val="21"/>
          <w:szCs w:val="21"/>
          <w:highlight w:val="cyan"/>
          <w:lang w:eastAsia="es-CO"/>
          <w14:ligatures w14:val="none"/>
        </w:rPr>
        <w:t xml:space="preserve"> actus</w:t>
      </w:r>
      <w:hyperlink r:id="rId7" w:anchor="cite_note-4" w:history="1">
        <w:r w:rsidRPr="005547DA">
          <w:rPr>
            <w:rFonts w:ascii="Century Gothic" w:eastAsia="Times New Roman" w:hAnsi="Century Gothic" w:cs="Helvetica"/>
            <w:kern w:val="0"/>
            <w:sz w:val="16"/>
            <w:szCs w:val="16"/>
            <w:highlight w:val="cyan"/>
            <w:u w:val="single"/>
            <w:vertAlign w:val="superscript"/>
            <w:lang w:eastAsia="es-CO"/>
            <w14:ligatures w14:val="none"/>
          </w:rPr>
          <w:t>4</w:t>
        </w:r>
      </w:hyperlink>
      <w:r w:rsidRPr="005547DA">
        <w:rPr>
          <w:rFonts w:ascii="Century Gothic" w:eastAsia="Times New Roman" w:hAnsi="Century Gothic" w:cs="Helvetica"/>
          <w:kern w:val="0"/>
          <w:sz w:val="21"/>
          <w:szCs w:val="21"/>
          <w:highlight w:val="cyan"/>
          <w:lang w:eastAsia="es-CO"/>
          <w14:ligatures w14:val="none"/>
        </w:rPr>
        <w:t> de la insinuación</w:t>
      </w:r>
      <w:hyperlink r:id="rId8" w:anchor="cite_note-5" w:history="1">
        <w:r w:rsidRPr="005547DA">
          <w:rPr>
            <w:rFonts w:ascii="Century Gothic" w:eastAsia="Times New Roman" w:hAnsi="Century Gothic" w:cs="Helvetica"/>
            <w:kern w:val="0"/>
            <w:sz w:val="16"/>
            <w:szCs w:val="16"/>
            <w:highlight w:val="cyan"/>
            <w:u w:val="single"/>
            <w:vertAlign w:val="superscript"/>
            <w:lang w:eastAsia="es-CO"/>
            <w14:ligatures w14:val="none"/>
          </w:rPr>
          <w:t>5</w:t>
        </w:r>
      </w:hyperlink>
      <w:r w:rsidRPr="005547DA">
        <w:rPr>
          <w:rFonts w:ascii="Century Gothic" w:eastAsia="Times New Roman" w:hAnsi="Century Gothic" w:cs="Helvetica"/>
          <w:kern w:val="0"/>
          <w:sz w:val="21"/>
          <w:szCs w:val="21"/>
          <w:highlight w:val="cyan"/>
          <w:lang w:eastAsia="es-CO"/>
          <w14:ligatures w14:val="none"/>
        </w:rPr>
        <w:t>. De satisfacerse aquellas condiciones, corresponderá al notario conceder la autorización, reflejando en la escritura pública, conforme el artículo 3 del Decreto 1712 de 1989:</w:t>
      </w:r>
    </w:p>
    <w:p w14:paraId="2E12D2A6" w14:textId="0DDCE555"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«Artículo 3. La escritura pública correspondiente, además de los requisitos que le son propios y de los exigidos por la ley</w:t>
      </w:r>
      <w:r w:rsidRPr="005547DA">
        <w:rPr>
          <w:rFonts w:ascii="Century Gothic" w:eastAsia="Times New Roman" w:hAnsi="Century Gothic" w:cs="Helvetica"/>
          <w:kern w:val="0"/>
          <w:sz w:val="21"/>
          <w:szCs w:val="21"/>
          <w:highlight w:val="cyan"/>
          <w:lang w:eastAsia="es-CO"/>
          <w14:ligatures w14:val="none"/>
        </w:rPr>
        <w:t>, deberá contener </w:t>
      </w:r>
      <w:r w:rsidRPr="005547DA">
        <w:rPr>
          <w:rFonts w:ascii="Century Gothic" w:eastAsia="Times New Roman" w:hAnsi="Century Gothic" w:cs="Helvetica"/>
          <w:kern w:val="0"/>
          <w:sz w:val="21"/>
          <w:szCs w:val="21"/>
          <w:highlight w:val="cyan"/>
          <w:u w:val="single"/>
          <w:lang w:eastAsia="es-CO"/>
          <w14:ligatures w14:val="none"/>
        </w:rPr>
        <w:t>la prueba fehaciente del valor comercial del bien</w:t>
      </w:r>
      <w:r w:rsidRPr="005547DA">
        <w:rPr>
          <w:rFonts w:ascii="Century Gothic" w:eastAsia="Times New Roman" w:hAnsi="Century Gothic" w:cs="Helvetica"/>
          <w:kern w:val="0"/>
          <w:sz w:val="21"/>
          <w:szCs w:val="21"/>
          <w:highlight w:val="cyan"/>
          <w:lang w:eastAsia="es-CO"/>
          <w14:ligatures w14:val="none"/>
        </w:rPr>
        <w:t>, de la calidad de propietario del donante y de que éste conserva lo necesario para su congrua subsistencia» (énfasis propio)</w:t>
      </w:r>
    </w:p>
    <w:p w14:paraId="51F46873" w14:textId="389EE62B"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La Corte Suprema de Justicia</w:t>
      </w:r>
      <w:hyperlink r:id="rId9" w:anchor="cite_note-6" w:history="1">
        <w:r w:rsidRPr="005547DA">
          <w:rPr>
            <w:rFonts w:ascii="Century Gothic" w:eastAsia="Times New Roman" w:hAnsi="Century Gothic" w:cs="Helvetica"/>
            <w:kern w:val="0"/>
            <w:sz w:val="16"/>
            <w:szCs w:val="16"/>
            <w:u w:val="single"/>
            <w:vertAlign w:val="superscript"/>
            <w:lang w:eastAsia="es-CO"/>
            <w14:ligatures w14:val="none"/>
          </w:rPr>
          <w:t>6</w:t>
        </w:r>
      </w:hyperlink>
      <w:r w:rsidRPr="005547DA">
        <w:rPr>
          <w:rFonts w:ascii="Century Gothic" w:eastAsia="Times New Roman" w:hAnsi="Century Gothic" w:cs="Helvetica"/>
          <w:kern w:val="0"/>
          <w:sz w:val="21"/>
          <w:szCs w:val="21"/>
          <w:lang w:eastAsia="es-CO"/>
          <w14:ligatures w14:val="none"/>
        </w:rPr>
        <w:t> ha señalado que el precepto citado no condiciona la acreditación del hecho a un medio de prueba específico, sino que respeta el principio de libertad probatoria</w:t>
      </w:r>
      <w:hyperlink r:id="rId10" w:anchor="cite_note-7" w:history="1">
        <w:r w:rsidRPr="005547DA">
          <w:rPr>
            <w:rFonts w:ascii="Century Gothic" w:eastAsia="Times New Roman" w:hAnsi="Century Gothic" w:cs="Helvetica"/>
            <w:kern w:val="0"/>
            <w:sz w:val="16"/>
            <w:szCs w:val="16"/>
            <w:u w:val="single"/>
            <w:vertAlign w:val="superscript"/>
            <w:lang w:eastAsia="es-CO"/>
            <w14:ligatures w14:val="none"/>
          </w:rPr>
          <w:t>7</w:t>
        </w:r>
      </w:hyperlink>
      <w:r w:rsidRPr="005547DA">
        <w:rPr>
          <w:rFonts w:ascii="Century Gothic" w:eastAsia="Times New Roman" w:hAnsi="Century Gothic" w:cs="Helvetica"/>
          <w:kern w:val="0"/>
          <w:sz w:val="21"/>
          <w:szCs w:val="21"/>
          <w:lang w:eastAsia="es-CO"/>
          <w14:ligatures w14:val="none"/>
        </w:rPr>
        <w:t>, conforme con el cual se podrán acreditar los hechos por cualquiera de los medios enumerados en el artículo 165 del Código General del Proceso</w:t>
      </w:r>
      <w:hyperlink r:id="rId11" w:anchor="cite_note-8" w:history="1">
        <w:r w:rsidRPr="005547DA">
          <w:rPr>
            <w:rFonts w:ascii="Century Gothic" w:eastAsia="Times New Roman" w:hAnsi="Century Gothic" w:cs="Helvetica"/>
            <w:kern w:val="0"/>
            <w:sz w:val="16"/>
            <w:szCs w:val="16"/>
            <w:u w:val="single"/>
            <w:vertAlign w:val="superscript"/>
            <w:lang w:eastAsia="es-CO"/>
            <w14:ligatures w14:val="none"/>
          </w:rPr>
          <w:t>8</w:t>
        </w:r>
      </w:hyperlink>
      <w:r w:rsidRPr="005547DA">
        <w:rPr>
          <w:rFonts w:ascii="Century Gothic" w:eastAsia="Times New Roman" w:hAnsi="Century Gothic" w:cs="Helvetica"/>
          <w:kern w:val="0"/>
          <w:sz w:val="21"/>
          <w:szCs w:val="21"/>
          <w:lang w:eastAsia="es-CO"/>
          <w14:ligatures w14:val="none"/>
        </w:rPr>
        <w:t>. No obstante, la aplicación del comentado principio no debe confundirse con el valor demostrativo que corresponda a los elementos de juicio</w:t>
      </w:r>
      <w:hyperlink r:id="rId12" w:anchor="cite_note-9" w:history="1">
        <w:r w:rsidRPr="005547DA">
          <w:rPr>
            <w:rFonts w:ascii="Century Gothic" w:eastAsia="Times New Roman" w:hAnsi="Century Gothic" w:cs="Helvetica"/>
            <w:kern w:val="0"/>
            <w:sz w:val="16"/>
            <w:szCs w:val="16"/>
            <w:u w:val="single"/>
            <w:vertAlign w:val="superscript"/>
            <w:lang w:eastAsia="es-CO"/>
            <w14:ligatures w14:val="none"/>
          </w:rPr>
          <w:t>9</w:t>
        </w:r>
      </w:hyperlink>
      <w:r w:rsidRPr="005547DA">
        <w:rPr>
          <w:rFonts w:ascii="Century Gothic" w:eastAsia="Times New Roman" w:hAnsi="Century Gothic" w:cs="Helvetica"/>
          <w:kern w:val="0"/>
          <w:sz w:val="21"/>
          <w:szCs w:val="21"/>
          <w:lang w:eastAsia="es-CO"/>
          <w14:ligatures w14:val="none"/>
        </w:rPr>
        <w:t xml:space="preserve">, puesto que habrá algunos que ostentaran menor duda y controversia que otros para la acreditación del valor comercial del bien a donar. </w:t>
      </w:r>
      <w:r w:rsidRPr="005547DA">
        <w:rPr>
          <w:rFonts w:ascii="Century Gothic" w:eastAsia="Times New Roman" w:hAnsi="Century Gothic" w:cs="Helvetica"/>
          <w:kern w:val="0"/>
          <w:sz w:val="21"/>
          <w:szCs w:val="21"/>
          <w:highlight w:val="cyan"/>
          <w:lang w:eastAsia="es-CO"/>
          <w14:ligatures w14:val="none"/>
        </w:rPr>
        <w:t>Por lo tanto, el valor comercial del bien puede demostrarse con cualquier medio de prueba que acredite «fehacientemente» su valor.</w:t>
      </w:r>
    </w:p>
    <w:p w14:paraId="4CAA35E8" w14:textId="2AF62B02"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green"/>
          <w:lang w:eastAsia="es-CO"/>
          <w14:ligatures w14:val="none"/>
        </w:rPr>
        <w:t>Ahora bien, el </w:t>
      </w:r>
      <w:r w:rsidRPr="005547DA">
        <w:rPr>
          <w:rFonts w:ascii="Century Gothic" w:eastAsia="Times New Roman" w:hAnsi="Century Gothic" w:cs="Helvetica"/>
          <w:kern w:val="0"/>
          <w:sz w:val="21"/>
          <w:szCs w:val="21"/>
          <w:highlight w:val="green"/>
          <w:u w:val="single"/>
          <w:lang w:eastAsia="es-CO"/>
          <w14:ligatures w14:val="none"/>
        </w:rPr>
        <w:t>artículo 125-2</w:t>
      </w:r>
      <w:r w:rsidRPr="005547DA">
        <w:rPr>
          <w:rFonts w:ascii="Century Gothic" w:eastAsia="Times New Roman" w:hAnsi="Century Gothic" w:cs="Helvetica"/>
          <w:kern w:val="0"/>
          <w:sz w:val="21"/>
          <w:szCs w:val="21"/>
          <w:highlight w:val="green"/>
          <w:lang w:eastAsia="es-CO"/>
          <w14:ligatures w14:val="none"/>
        </w:rPr>
        <w:t> del Estatuto Tributario (en adelante, E.T), que establece las distintas modalidades de las donaciones desde la perspectiva tributaria, señala que:</w:t>
      </w:r>
    </w:p>
    <w:p w14:paraId="755C79FD" w14:textId="07EC8CDB"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highlight w:val="green"/>
          <w:lang w:eastAsia="es-CO"/>
          <w14:ligatures w14:val="none"/>
        </w:rPr>
      </w:pPr>
      <w:r w:rsidRPr="005547DA">
        <w:rPr>
          <w:rFonts w:ascii="Century Gothic" w:eastAsia="Times New Roman" w:hAnsi="Century Gothic" w:cs="Helvetica"/>
          <w:kern w:val="0"/>
          <w:sz w:val="21"/>
          <w:szCs w:val="21"/>
          <w:highlight w:val="green"/>
          <w:lang w:eastAsia="es-CO"/>
          <w14:ligatures w14:val="none"/>
        </w:rPr>
        <w:t>«[…] Cuando se donen otros activos</w:t>
      </w:r>
      <w:r w:rsidRPr="005547DA">
        <w:rPr>
          <w:rFonts w:ascii="Century Gothic" w:eastAsia="Times New Roman" w:hAnsi="Century Gothic" w:cs="Helvetica"/>
          <w:kern w:val="0"/>
          <w:sz w:val="21"/>
          <w:szCs w:val="21"/>
          <w:lang w:eastAsia="es-CO"/>
          <w14:ligatures w14:val="none"/>
        </w:rPr>
        <w:t xml:space="preserve">, su valor se estimará por el costo de adquisición más los ajustes efectuados hasta la fecha de la donación, menos las depreciaciones acumuladas hasta esa misma </w:t>
      </w:r>
      <w:r w:rsidRPr="005547DA">
        <w:rPr>
          <w:rFonts w:ascii="Century Gothic" w:eastAsia="Times New Roman" w:hAnsi="Century Gothic" w:cs="Helvetica"/>
          <w:kern w:val="0"/>
          <w:sz w:val="21"/>
          <w:szCs w:val="21"/>
          <w:highlight w:val="green"/>
          <w:lang w:eastAsia="es-CO"/>
          <w14:ligatures w14:val="none"/>
        </w:rPr>
        <w:t>fecha.</w:t>
      </w:r>
    </w:p>
    <w:p w14:paraId="3A1A314A" w14:textId="0DE9B6BF"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green"/>
          <w:lang w:eastAsia="es-CO"/>
          <w14:ligatures w14:val="none"/>
        </w:rPr>
        <w:t>Parágrafo 1. En todo caso, cuando se donen otros activos </w:t>
      </w:r>
      <w:r w:rsidRPr="005547DA">
        <w:rPr>
          <w:rFonts w:ascii="Century Gothic" w:eastAsia="Times New Roman" w:hAnsi="Century Gothic" w:cs="Helvetica"/>
          <w:kern w:val="0"/>
          <w:sz w:val="21"/>
          <w:szCs w:val="21"/>
          <w:highlight w:val="green"/>
          <w:u w:val="single"/>
          <w:lang w:eastAsia="es-CO"/>
          <w14:ligatures w14:val="none"/>
        </w:rPr>
        <w:t>su valor será el menor entre el valor comercial y el costo fiscal del bien donado</w:t>
      </w:r>
      <w:r w:rsidRPr="005547DA">
        <w:rPr>
          <w:rFonts w:ascii="Century Gothic" w:eastAsia="Times New Roman" w:hAnsi="Century Gothic" w:cs="Helvetica"/>
          <w:kern w:val="0"/>
          <w:sz w:val="21"/>
          <w:szCs w:val="21"/>
          <w:highlight w:val="green"/>
          <w:lang w:eastAsia="es-CO"/>
          <w14:ligatures w14:val="none"/>
        </w:rPr>
        <w:t>». (Énfasis propio)</w:t>
      </w:r>
    </w:p>
    <w:p w14:paraId="03FEB678" w14:textId="5B82D3BE"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yellow"/>
          <w:lang w:eastAsia="es-CO"/>
          <w14:ligatures w14:val="none"/>
        </w:rPr>
        <w:t>Conforme con la norma transcrita, el valor de la donación se estimará por su costo fiscal «(Costo de Adquisición + Ajustes) - Depreciaciones Acumuladas». No obstante, el valor final del activo donado será el menor de los siguientes dos valores: (i) valor comercial; y (</w:t>
      </w:r>
      <w:proofErr w:type="spellStart"/>
      <w:r w:rsidRPr="005547DA">
        <w:rPr>
          <w:rFonts w:ascii="Century Gothic" w:eastAsia="Times New Roman" w:hAnsi="Century Gothic" w:cs="Helvetica"/>
          <w:kern w:val="0"/>
          <w:sz w:val="21"/>
          <w:szCs w:val="21"/>
          <w:highlight w:val="yellow"/>
          <w:lang w:eastAsia="es-CO"/>
          <w14:ligatures w14:val="none"/>
        </w:rPr>
        <w:t>ii</w:t>
      </w:r>
      <w:proofErr w:type="spellEnd"/>
      <w:r w:rsidRPr="005547DA">
        <w:rPr>
          <w:rFonts w:ascii="Century Gothic" w:eastAsia="Times New Roman" w:hAnsi="Century Gothic" w:cs="Helvetica"/>
          <w:kern w:val="0"/>
          <w:sz w:val="21"/>
          <w:szCs w:val="21"/>
          <w:highlight w:val="yellow"/>
          <w:lang w:eastAsia="es-CO"/>
          <w14:ligatures w14:val="none"/>
        </w:rPr>
        <w:t>) costo fiscal. El numeral 2 del artículo 1.2.1.4.3 del Decreto 1625 de 2016 señala que corresponderá a la entidad donataria certificar el valor efectivamente recibido por concepto de la donación, el cual solo podrá ser utilizado por el donante como soporte del descuento tributario. Esto indica que la entidad donataria debe considerar tanto el valor comercial como el costo fiscal para determinar el menor valor del bien donado</w:t>
      </w:r>
      <w:r w:rsidRPr="005547DA">
        <w:rPr>
          <w:rFonts w:ascii="Century Gothic" w:eastAsia="Times New Roman" w:hAnsi="Century Gothic" w:cs="Helvetica"/>
          <w:kern w:val="0"/>
          <w:sz w:val="21"/>
          <w:szCs w:val="21"/>
          <w:lang w:eastAsia="es-CO"/>
          <w14:ligatures w14:val="none"/>
        </w:rPr>
        <w:t>.</w:t>
      </w:r>
    </w:p>
    <w:p w14:paraId="7C04CE5A" w14:textId="3F29610F"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cyan"/>
          <w:lang w:eastAsia="es-CO"/>
          <w14:ligatures w14:val="none"/>
        </w:rPr>
        <w:t xml:space="preserve">En consecuencia, para determinar el valor del bien donado, que se reflejará en el certificado emitido por la entidad donataria, el valor comercial, que se comparará con el </w:t>
      </w:r>
      <w:r w:rsidRPr="005547DA">
        <w:rPr>
          <w:rFonts w:ascii="Century Gothic" w:eastAsia="Times New Roman" w:hAnsi="Century Gothic" w:cs="Helvetica"/>
          <w:kern w:val="0"/>
          <w:sz w:val="21"/>
          <w:szCs w:val="21"/>
          <w:highlight w:val="cyan"/>
          <w:lang w:eastAsia="es-CO"/>
          <w14:ligatures w14:val="none"/>
        </w:rPr>
        <w:lastRenderedPageBreak/>
        <w:t>costo fiscal, debe ser demostrado con cualquier medio de prueba que acredite «fehacientemente» su valor</w:t>
      </w:r>
      <w:r w:rsidRPr="005547DA">
        <w:rPr>
          <w:rFonts w:ascii="Century Gothic" w:eastAsia="Times New Roman" w:hAnsi="Century Gothic" w:cs="Helvetica"/>
          <w:kern w:val="0"/>
          <w:sz w:val="21"/>
          <w:szCs w:val="21"/>
          <w:lang w:eastAsia="es-CO"/>
          <w14:ligatures w14:val="none"/>
        </w:rPr>
        <w:t> </w:t>
      </w:r>
    </w:p>
    <w:p w14:paraId="5F6D3B38"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En todo caso, es importante diferenciar entre el «valor de la donación» y el «valor de la operación», puesto que el «valor de la donación» es el que determina el porcentaje sobre el cual se aplicará el descuento tributario por donación, mientras que el valor de la operación será el valor comercial del bien donado, monto sobre el cual se deberá expedir la factura para liquidar el valor del impuesto sobre las ventas-IVA, cuando haya lugar a ello.</w:t>
      </w:r>
    </w:p>
    <w:p w14:paraId="7C85BC2A"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 </w:t>
      </w:r>
    </w:p>
    <w:p w14:paraId="31909BE2"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Problema Jurídico #2.</w:t>
      </w:r>
    </w:p>
    <w:p w14:paraId="3977BDD0" w14:textId="30E580BC"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cyan"/>
          <w:lang w:eastAsia="es-CO"/>
          <w14:ligatures w14:val="none"/>
        </w:rPr>
        <w:t>¿Es obligatorio que la entidad donataria exija la factura electrónica al donante, cuando este tenga la responsabilidad de facturar electrónicamente según su RUT, para poder certificar el valor tributario de la donación?</w:t>
      </w:r>
    </w:p>
    <w:p w14:paraId="0BBAB337" w14:textId="640BD22C"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Tesis Jurídica #2.</w:t>
      </w:r>
    </w:p>
    <w:p w14:paraId="24E481B2" w14:textId="6471D42B"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highlight w:val="cyan"/>
          <w:lang w:eastAsia="es-CO"/>
          <w14:ligatures w14:val="none"/>
        </w:rPr>
        <w:t>Si.</w:t>
      </w:r>
      <w:r w:rsidRPr="005547DA">
        <w:rPr>
          <w:rFonts w:ascii="Century Gothic" w:eastAsia="Times New Roman" w:hAnsi="Century Gothic" w:cs="Helvetica"/>
          <w:kern w:val="0"/>
          <w:sz w:val="21"/>
          <w:szCs w:val="21"/>
          <w:lang w:eastAsia="es-CO"/>
          <w14:ligatures w14:val="none"/>
        </w:rPr>
        <w:t xml:space="preserve"> </w:t>
      </w:r>
      <w:r w:rsidRPr="005547DA">
        <w:rPr>
          <w:rFonts w:ascii="Century Gothic" w:eastAsia="Times New Roman" w:hAnsi="Century Gothic" w:cs="Helvetica"/>
          <w:kern w:val="0"/>
          <w:sz w:val="21"/>
          <w:szCs w:val="21"/>
          <w:highlight w:val="cyan"/>
          <w:lang w:eastAsia="es-CO"/>
          <w14:ligatures w14:val="none"/>
        </w:rPr>
        <w:t>Cuando el donante esté obligado a emitir facturas y el bien donado forme parte de su inventario,</w:t>
      </w:r>
      <w:r w:rsidRPr="005547DA">
        <w:rPr>
          <w:rFonts w:ascii="Century Gothic" w:eastAsia="Times New Roman" w:hAnsi="Century Gothic" w:cs="Helvetica"/>
          <w:kern w:val="0"/>
          <w:sz w:val="21"/>
          <w:szCs w:val="21"/>
          <w:lang w:eastAsia="es-CO"/>
          <w14:ligatures w14:val="none"/>
        </w:rPr>
        <w:t xml:space="preserve"> deberá emitir una factura electrónica para cumplir con sus obligaciones tributarias, ya que, a efectos fiscales, la donación se trata como una venta. No obstante, la emisión de esta factura no afecta la determinación del valor tributario de la donación ni la validez del certificado de donación recibido, dado que la normativa especial no exige la factura como requisito formal o soporte indispensable para el certificado.</w:t>
      </w:r>
    </w:p>
    <w:p w14:paraId="109A44F1" w14:textId="40449B1C"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proofErr w:type="spellStart"/>
      <w:r w:rsidRPr="005547DA">
        <w:rPr>
          <w:rFonts w:ascii="Century Gothic" w:eastAsia="Times New Roman" w:hAnsi="Century Gothic" w:cs="Helvetica"/>
          <w:b/>
          <w:bCs/>
          <w:kern w:val="0"/>
          <w:sz w:val="21"/>
          <w:szCs w:val="21"/>
          <w:lang w:eastAsia="es-CO"/>
          <w14:ligatures w14:val="none"/>
        </w:rPr>
        <w:t>Fundamentació</w:t>
      </w:r>
      <w:proofErr w:type="spellEnd"/>
      <w:r w:rsidRPr="005547DA">
        <w:rPr>
          <w:rFonts w:ascii="Century Gothic" w:eastAsia="Times New Roman" w:hAnsi="Century Gothic" w:cs="Helvetica"/>
          <w:kern w:val="0"/>
          <w:sz w:val="21"/>
          <w:szCs w:val="21"/>
          <w:lang w:eastAsia="es-CO"/>
          <w14:ligatures w14:val="none"/>
        </w:rPr>
        <w:t> </w:t>
      </w:r>
    </w:p>
    <w:p w14:paraId="0953888D"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highlight w:val="cyan"/>
          <w:lang w:eastAsia="es-CO"/>
          <w14:ligatures w14:val="none"/>
        </w:rPr>
      </w:pPr>
      <w:r w:rsidRPr="005547DA">
        <w:rPr>
          <w:rFonts w:ascii="Century Gothic" w:eastAsia="Times New Roman" w:hAnsi="Century Gothic" w:cs="Helvetica"/>
          <w:kern w:val="0"/>
          <w:sz w:val="21"/>
          <w:szCs w:val="21"/>
          <w:lang w:eastAsia="es-CO"/>
          <w14:ligatures w14:val="none"/>
        </w:rPr>
        <w:t>De conformidad con el </w:t>
      </w:r>
      <w:r w:rsidRPr="005547DA">
        <w:rPr>
          <w:rFonts w:ascii="Century Gothic" w:eastAsia="Times New Roman" w:hAnsi="Century Gothic" w:cs="Helvetica"/>
          <w:kern w:val="0"/>
          <w:sz w:val="21"/>
          <w:szCs w:val="21"/>
          <w:u w:val="single"/>
          <w:lang w:eastAsia="es-CO"/>
          <w14:ligatures w14:val="none"/>
        </w:rPr>
        <w:t>artículo 125-3</w:t>
      </w:r>
      <w:r w:rsidRPr="005547DA">
        <w:rPr>
          <w:rFonts w:ascii="Century Gothic" w:eastAsia="Times New Roman" w:hAnsi="Century Gothic" w:cs="Helvetica"/>
          <w:kern w:val="0"/>
          <w:sz w:val="21"/>
          <w:szCs w:val="21"/>
          <w:lang w:eastAsia="es-CO"/>
          <w14:ligatures w14:val="none"/>
        </w:rPr>
        <w:t xml:space="preserve"> ET., para que proceda la deducción por donaciones, se requiere una certificación emitida por la entidad donataria, firmada por Revisor Fiscal o Contador, que certifique la forma, el monto y la destinación de la donación, así como el cumplimiento de las condiciones </w:t>
      </w:r>
      <w:r w:rsidRPr="005547DA">
        <w:rPr>
          <w:rFonts w:ascii="Century Gothic" w:eastAsia="Times New Roman" w:hAnsi="Century Gothic" w:cs="Helvetica"/>
          <w:kern w:val="0"/>
          <w:sz w:val="21"/>
          <w:szCs w:val="21"/>
          <w:highlight w:val="cyan"/>
          <w:lang w:eastAsia="es-CO"/>
          <w14:ligatures w14:val="none"/>
        </w:rPr>
        <w:t>señaladas en los artículos anteriores.</w:t>
      </w:r>
    </w:p>
    <w:p w14:paraId="73C49B3A" w14:textId="3811623F"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cyan"/>
          <w:lang w:eastAsia="es-CO"/>
          <w14:ligatures w14:val="none"/>
        </w:rPr>
        <w:t>El Decreto 1625 de 2016, en el numeral 2 del artículo 1.2.1.4.3., dispone que la certificación dirigida al donante, debe (i) ser firmada por el representante legal de la entidad donataria, contador público o revisor fiscal cuando hubiere lugar a ello y (</w:t>
      </w:r>
      <w:proofErr w:type="spellStart"/>
      <w:r w:rsidRPr="005547DA">
        <w:rPr>
          <w:rFonts w:ascii="Century Gothic" w:eastAsia="Times New Roman" w:hAnsi="Century Gothic" w:cs="Helvetica"/>
          <w:kern w:val="0"/>
          <w:sz w:val="21"/>
          <w:szCs w:val="21"/>
          <w:highlight w:val="cyan"/>
          <w:lang w:eastAsia="es-CO"/>
          <w14:ligatures w14:val="none"/>
        </w:rPr>
        <w:t>ii</w:t>
      </w:r>
      <w:proofErr w:type="spellEnd"/>
      <w:r w:rsidRPr="005547DA">
        <w:rPr>
          <w:rFonts w:ascii="Century Gothic" w:eastAsia="Times New Roman" w:hAnsi="Century Gothic" w:cs="Helvetica"/>
          <w:kern w:val="0"/>
          <w:sz w:val="21"/>
          <w:szCs w:val="21"/>
          <w:highlight w:val="cyan"/>
          <w:lang w:eastAsia="es-CO"/>
          <w14:ligatures w14:val="none"/>
        </w:rPr>
        <w:t>) contener: la fecha de la donación, tipo de entidad, clase de bien donado, valor, la manera en que se efectuó la donación y la destinación de la misma, y (</w:t>
      </w:r>
      <w:proofErr w:type="spellStart"/>
      <w:r w:rsidRPr="005547DA">
        <w:rPr>
          <w:rFonts w:ascii="Century Gothic" w:eastAsia="Times New Roman" w:hAnsi="Century Gothic" w:cs="Helvetica"/>
          <w:kern w:val="0"/>
          <w:sz w:val="21"/>
          <w:szCs w:val="21"/>
          <w:highlight w:val="cyan"/>
          <w:lang w:eastAsia="es-CO"/>
          <w14:ligatures w14:val="none"/>
        </w:rPr>
        <w:t>iii</w:t>
      </w:r>
      <w:proofErr w:type="spellEnd"/>
      <w:r w:rsidRPr="005547DA">
        <w:rPr>
          <w:rFonts w:ascii="Century Gothic" w:eastAsia="Times New Roman" w:hAnsi="Century Gothic" w:cs="Helvetica"/>
          <w:kern w:val="0"/>
          <w:sz w:val="21"/>
          <w:szCs w:val="21"/>
          <w:highlight w:val="cyan"/>
          <w:lang w:eastAsia="es-CO"/>
          <w14:ligatures w14:val="none"/>
        </w:rPr>
        <w:t>) ser expedida como mínimo dentro del mes siguiente a la finalización del año gravable en que se reciba la donación.</w:t>
      </w:r>
    </w:p>
    <w:p w14:paraId="5BF144D4" w14:textId="3A5A43F3"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La norma también aclara que «el contenido de la certificación se entenderá bajo la gravedad del juramento y servirá como soporte del descuento aquí indicado, debiendo estar disponible para la autoridad tributaria cuando ésta lo requiera.»</w:t>
      </w:r>
    </w:p>
    <w:p w14:paraId="28C96715" w14:textId="3CE62543"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Nótese que la norma no exige soportes específicos para la información contenida en la certificación de la donación. Por lo tanto, de acuerdo con el principio de libertad probatoria, tanto el donatario como el donante deben disponer de la información necesaria para acreditar la validez de la certificación, la cual debe reflejar fielmente la realidad económica del acto realizado.</w:t>
      </w:r>
    </w:p>
    <w:p w14:paraId="5BED5DB1" w14:textId="2B9CEA44"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lastRenderedPageBreak/>
        <w:t>Ahora, sobre la obligación de facturar tal como lo ha expresado la doctrina de este despacho</w:t>
      </w:r>
      <w:hyperlink r:id="rId13" w:anchor="cite_note-10" w:history="1">
        <w:r w:rsidRPr="005547DA">
          <w:rPr>
            <w:rFonts w:ascii="Century Gothic" w:eastAsia="Times New Roman" w:hAnsi="Century Gothic" w:cs="Helvetica"/>
            <w:kern w:val="0"/>
            <w:sz w:val="16"/>
            <w:szCs w:val="16"/>
            <w:u w:val="single"/>
            <w:vertAlign w:val="superscript"/>
            <w:lang w:eastAsia="es-CO"/>
            <w14:ligatures w14:val="none"/>
          </w:rPr>
          <w:t>10</w:t>
        </w:r>
      </w:hyperlink>
      <w:r w:rsidRPr="005547DA">
        <w:rPr>
          <w:rFonts w:ascii="Century Gothic" w:eastAsia="Times New Roman" w:hAnsi="Century Gothic" w:cs="Helvetica"/>
          <w:kern w:val="0"/>
          <w:sz w:val="21"/>
          <w:szCs w:val="21"/>
          <w:lang w:eastAsia="es-CO"/>
          <w14:ligatures w14:val="none"/>
        </w:rPr>
        <w:t>, toda venta de bienes o prestación de servicios debe ser facturada cuando el vendedor o prestador es un sujeto obligado a facturar. Así mismo, el artículo 7 de la Resolución 000165 de 2023</w:t>
      </w:r>
      <w:hyperlink r:id="rId14" w:anchor="cite_note-11" w:history="1">
        <w:r w:rsidRPr="005547DA">
          <w:rPr>
            <w:rFonts w:ascii="Century Gothic" w:eastAsia="Times New Roman" w:hAnsi="Century Gothic" w:cs="Helvetica"/>
            <w:kern w:val="0"/>
            <w:sz w:val="16"/>
            <w:szCs w:val="16"/>
            <w:u w:val="single"/>
            <w:vertAlign w:val="superscript"/>
            <w:lang w:eastAsia="es-CO"/>
            <w14:ligatures w14:val="none"/>
          </w:rPr>
          <w:t>11</w:t>
        </w:r>
      </w:hyperlink>
      <w:r w:rsidRPr="005547DA">
        <w:rPr>
          <w:rFonts w:ascii="Century Gothic" w:eastAsia="Times New Roman" w:hAnsi="Century Gothic" w:cs="Helvetica"/>
          <w:kern w:val="0"/>
          <w:sz w:val="21"/>
          <w:szCs w:val="21"/>
          <w:lang w:eastAsia="es-CO"/>
          <w14:ligatures w14:val="none"/>
        </w:rPr>
        <w:t> señala que los sujetos obligados a expedir factura de venta y/o documento equivalente, lo deberán hacer por «todas y cada una de las operaciones que realicen».</w:t>
      </w:r>
    </w:p>
    <w:p w14:paraId="21D49727" w14:textId="090F17E6"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cyan"/>
          <w:lang w:eastAsia="es-CO"/>
          <w14:ligatures w14:val="none"/>
        </w:rPr>
        <w:t>Asimismo, conforme al </w:t>
      </w:r>
      <w:r w:rsidRPr="005547DA">
        <w:rPr>
          <w:rFonts w:ascii="Century Gothic" w:eastAsia="Times New Roman" w:hAnsi="Century Gothic" w:cs="Helvetica"/>
          <w:kern w:val="0"/>
          <w:sz w:val="21"/>
          <w:szCs w:val="21"/>
          <w:highlight w:val="cyan"/>
          <w:u w:val="single"/>
          <w:lang w:eastAsia="es-CO"/>
          <w14:ligatures w14:val="none"/>
        </w:rPr>
        <w:t>artículo 421</w:t>
      </w:r>
      <w:r w:rsidRPr="005547DA">
        <w:rPr>
          <w:rFonts w:ascii="Century Gothic" w:eastAsia="Times New Roman" w:hAnsi="Century Gothic" w:cs="Helvetica"/>
          <w:kern w:val="0"/>
          <w:sz w:val="21"/>
          <w:szCs w:val="21"/>
          <w:highlight w:val="cyan"/>
          <w:lang w:eastAsia="es-CO"/>
          <w14:ligatures w14:val="none"/>
        </w:rPr>
        <w:t> del Estatuto Tributario, cualquier transferencia de bienes muebles o inmuebles, sea gratuita u onerosa, se considera una venta y, por tanto, está sujeta al impuesto sobre las ventas- IVA.</w:t>
      </w:r>
    </w:p>
    <w:p w14:paraId="73B77D32"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 </w:t>
      </w:r>
    </w:p>
    <w:p w14:paraId="614AD2AF"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cyan"/>
          <w:lang w:eastAsia="es-CO"/>
          <w14:ligatures w14:val="none"/>
        </w:rPr>
        <w:t>En consecuencia, cuando los sujetos obligados a facturar electrónicamente donen bienes que formen parte de su inventario, deberán emitir la respectiva factura electrónica de venta y liquidar el IVA, en caso de que los bienes estén gravados con dicho impuesto</w:t>
      </w:r>
      <w:hyperlink r:id="rId15" w:anchor="cite_note-12" w:history="1">
        <w:r w:rsidRPr="005547DA">
          <w:rPr>
            <w:rFonts w:ascii="Century Gothic" w:eastAsia="Times New Roman" w:hAnsi="Century Gothic" w:cs="Helvetica"/>
            <w:kern w:val="0"/>
            <w:sz w:val="16"/>
            <w:szCs w:val="16"/>
            <w:highlight w:val="cyan"/>
            <w:u w:val="single"/>
            <w:vertAlign w:val="superscript"/>
            <w:lang w:eastAsia="es-CO"/>
            <w14:ligatures w14:val="none"/>
          </w:rPr>
          <w:t>12</w:t>
        </w:r>
      </w:hyperlink>
      <w:r w:rsidRPr="005547DA">
        <w:rPr>
          <w:rFonts w:ascii="Century Gothic" w:eastAsia="Times New Roman" w:hAnsi="Century Gothic" w:cs="Helvetica"/>
          <w:kern w:val="0"/>
          <w:sz w:val="21"/>
          <w:szCs w:val="21"/>
          <w:highlight w:val="cyan"/>
          <w:lang w:eastAsia="es-CO"/>
          <w14:ligatures w14:val="none"/>
        </w:rPr>
        <w:t>.</w:t>
      </w:r>
    </w:p>
    <w:p w14:paraId="17AF51BB" w14:textId="659A7040"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highlight w:val="yellow"/>
          <w:lang w:eastAsia="es-CO"/>
          <w14:ligatures w14:val="none"/>
        </w:rPr>
        <w:t>En todo caso, es importante diferenciar entre el «valor de la donación» y el «valor de la operación», puesto que el «valor de la donación» es el que determina el porcentaje sobre el cual se aplicará el descuento tributario por donación, mientras que el valor de la operación es el monto sobre el cual se debe emitir la factura a efectos del Impuesto al valor agregado -IVA, que en este caso será el valor comercial del bien donado.</w:t>
      </w:r>
    </w:p>
    <w:p w14:paraId="7A3622CC" w14:textId="22705E78"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6" w:tgtFrame="_blank" w:history="1">
        <w:r w:rsidRPr="005547DA">
          <w:rPr>
            <w:rFonts w:ascii="Century Gothic" w:eastAsia="Times New Roman" w:hAnsi="Century Gothic" w:cs="Helvetica"/>
            <w:kern w:val="0"/>
            <w:sz w:val="21"/>
            <w:szCs w:val="21"/>
            <w:u w:val="single"/>
            <w:lang w:eastAsia="es-CO"/>
            <w14:ligatures w14:val="none"/>
          </w:rPr>
          <w:t>https://normograma.dian.gov.co/dian/</w:t>
        </w:r>
      </w:hyperlink>
      <w:r w:rsidRPr="005547DA">
        <w:rPr>
          <w:rFonts w:ascii="Century Gothic" w:eastAsia="Times New Roman" w:hAnsi="Century Gothic" w:cs="Helvetica"/>
          <w:kern w:val="0"/>
          <w:sz w:val="21"/>
          <w:szCs w:val="21"/>
          <w:lang w:eastAsia="es-CO"/>
          <w14:ligatures w14:val="none"/>
        </w:rPr>
        <w:t>.</w:t>
      </w:r>
    </w:p>
    <w:p w14:paraId="39FD18C7" w14:textId="29AE841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Atentamente,</w:t>
      </w:r>
    </w:p>
    <w:p w14:paraId="014BE05E" w14:textId="412A2259"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b/>
          <w:bCs/>
          <w:kern w:val="0"/>
          <w:sz w:val="21"/>
          <w:szCs w:val="21"/>
          <w:lang w:eastAsia="es-CO"/>
          <w14:ligatures w14:val="none"/>
        </w:rPr>
        <w:t>INGRID CASTAÑEDA CEPEDA</w:t>
      </w:r>
    </w:p>
    <w:p w14:paraId="56EB188A" w14:textId="77777777" w:rsidR="00F678B7" w:rsidRPr="005547DA" w:rsidRDefault="00F678B7" w:rsidP="00F678B7">
      <w:pPr>
        <w:shd w:val="clear" w:color="auto" w:fill="FFFFFF"/>
        <w:spacing w:after="15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Subdirectora de Normativa y Doctrina (A)</w:t>
      </w:r>
    </w:p>
    <w:p w14:paraId="14194E4A" w14:textId="77777777" w:rsidR="00F678B7" w:rsidRPr="005547DA" w:rsidRDefault="00F678B7" w:rsidP="00F678B7">
      <w:pPr>
        <w:shd w:val="clear" w:color="auto" w:fill="FFFFFF"/>
        <w:spacing w:after="0" w:line="360" w:lineRule="auto"/>
        <w:jc w:val="both"/>
        <w:rPr>
          <w:rFonts w:ascii="Century Gothic" w:eastAsia="Times New Roman" w:hAnsi="Century Gothic" w:cs="Helvetica"/>
          <w:kern w:val="0"/>
          <w:sz w:val="21"/>
          <w:szCs w:val="21"/>
          <w:lang w:eastAsia="es-CO"/>
          <w14:ligatures w14:val="none"/>
        </w:rPr>
      </w:pPr>
      <w:r w:rsidRPr="005547DA">
        <w:rPr>
          <w:rFonts w:ascii="Century Gothic" w:eastAsia="Times New Roman" w:hAnsi="Century Gothic" w:cs="Helvetica"/>
          <w:kern w:val="0"/>
          <w:sz w:val="21"/>
          <w:szCs w:val="21"/>
          <w:lang w:eastAsia="es-CO"/>
          <w14:ligatures w14:val="none"/>
        </w:rPr>
        <w:t>Dirección de Gestión Jurídica</w:t>
      </w:r>
    </w:p>
    <w:p w14:paraId="25CB2204" w14:textId="77777777" w:rsidR="007F5CC8" w:rsidRPr="005547DA" w:rsidRDefault="007F5CC8" w:rsidP="00F678B7">
      <w:pPr>
        <w:spacing w:line="360" w:lineRule="auto"/>
        <w:rPr>
          <w:rFonts w:ascii="Century Gothic" w:hAnsi="Century Gothic"/>
        </w:rPr>
      </w:pPr>
    </w:p>
    <w:sectPr w:rsidR="007F5CC8" w:rsidRPr="005547D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B7"/>
    <w:rsid w:val="000F3837"/>
    <w:rsid w:val="0013145B"/>
    <w:rsid w:val="001E311E"/>
    <w:rsid w:val="00434AE6"/>
    <w:rsid w:val="005547DA"/>
    <w:rsid w:val="005D25EE"/>
    <w:rsid w:val="007F5CC8"/>
    <w:rsid w:val="008779BE"/>
    <w:rsid w:val="008C2E57"/>
    <w:rsid w:val="00CC76C8"/>
    <w:rsid w:val="00D02AF9"/>
    <w:rsid w:val="00EB5ADB"/>
    <w:rsid w:val="00F678B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1D01"/>
  <w15:chartTrackingRefBased/>
  <w15:docId w15:val="{8790A0E0-2013-46A1-810B-DAAF0D19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7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7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7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7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678B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678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678B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678B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678B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8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78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78B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78B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678B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678B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678B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678B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678B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67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78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8B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678B7"/>
    <w:pPr>
      <w:spacing w:before="160"/>
      <w:jc w:val="center"/>
    </w:pPr>
    <w:rPr>
      <w:i/>
      <w:iCs/>
      <w:color w:val="404040" w:themeColor="text1" w:themeTint="BF"/>
    </w:rPr>
  </w:style>
  <w:style w:type="character" w:customStyle="1" w:styleId="CitaCar">
    <w:name w:val="Cita Car"/>
    <w:basedOn w:val="Fuentedeprrafopredeter"/>
    <w:link w:val="Cita"/>
    <w:uiPriority w:val="29"/>
    <w:rsid w:val="00F678B7"/>
    <w:rPr>
      <w:i/>
      <w:iCs/>
      <w:color w:val="404040" w:themeColor="text1" w:themeTint="BF"/>
    </w:rPr>
  </w:style>
  <w:style w:type="paragraph" w:styleId="Prrafodelista">
    <w:name w:val="List Paragraph"/>
    <w:basedOn w:val="Normal"/>
    <w:uiPriority w:val="34"/>
    <w:qFormat/>
    <w:rsid w:val="00F678B7"/>
    <w:pPr>
      <w:ind w:left="720"/>
      <w:contextualSpacing/>
    </w:pPr>
  </w:style>
  <w:style w:type="character" w:styleId="nfasisintenso">
    <w:name w:val="Intense Emphasis"/>
    <w:basedOn w:val="Fuentedeprrafopredeter"/>
    <w:uiPriority w:val="21"/>
    <w:qFormat/>
    <w:rsid w:val="00F678B7"/>
    <w:rPr>
      <w:i/>
      <w:iCs/>
      <w:color w:val="0F4761" w:themeColor="accent1" w:themeShade="BF"/>
    </w:rPr>
  </w:style>
  <w:style w:type="paragraph" w:styleId="Citadestacada">
    <w:name w:val="Intense Quote"/>
    <w:basedOn w:val="Normal"/>
    <w:next w:val="Normal"/>
    <w:link w:val="CitadestacadaCar"/>
    <w:uiPriority w:val="30"/>
    <w:qFormat/>
    <w:rsid w:val="00F67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78B7"/>
    <w:rPr>
      <w:i/>
      <w:iCs/>
      <w:color w:val="0F4761" w:themeColor="accent1" w:themeShade="BF"/>
    </w:rPr>
  </w:style>
  <w:style w:type="character" w:styleId="Referenciaintensa">
    <w:name w:val="Intense Reference"/>
    <w:basedOn w:val="Fuentedeprrafopredeter"/>
    <w:uiPriority w:val="32"/>
    <w:qFormat/>
    <w:rsid w:val="00F67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5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287" TargetMode="External"/><Relationship Id="rId13" Type="http://schemas.openxmlformats.org/officeDocument/2006/relationships/hyperlink" Target="https://www.ceta.org.co/html/vista_de_un_documento.asp?DocumentoID=5228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documento.asp?DocumentoID=52287" TargetMode="External"/><Relationship Id="rId12" Type="http://schemas.openxmlformats.org/officeDocument/2006/relationships/hyperlink" Target="https://www.ceta.org.co/html/vista_de_un_documento.asp?DocumentoID=5228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ograma.dian.gov.co/dian/" TargetMode="External"/><Relationship Id="rId1" Type="http://schemas.openxmlformats.org/officeDocument/2006/relationships/styles" Target="styles.xml"/><Relationship Id="rId6" Type="http://schemas.openxmlformats.org/officeDocument/2006/relationships/hyperlink" Target="https://www.ceta.org.co/html/vista_de_un_documento.asp?DocumentoID=52287" TargetMode="External"/><Relationship Id="rId11" Type="http://schemas.openxmlformats.org/officeDocument/2006/relationships/hyperlink" Target="https://www.ceta.org.co/html/vista_de_un_documento.asp?DocumentoID=52287" TargetMode="External"/><Relationship Id="rId5" Type="http://schemas.openxmlformats.org/officeDocument/2006/relationships/hyperlink" Target="https://www.ceta.org.co/html/vista_de_un_documento.asp?DocumentoID=52287" TargetMode="External"/><Relationship Id="rId15" Type="http://schemas.openxmlformats.org/officeDocument/2006/relationships/hyperlink" Target="https://www.ceta.org.co/html/vista_de_un_documento.asp?DocumentoID=52287" TargetMode="External"/><Relationship Id="rId10" Type="http://schemas.openxmlformats.org/officeDocument/2006/relationships/hyperlink" Target="https://www.ceta.org.co/html/vista_de_un_documento.asp?DocumentoID=52287" TargetMode="External"/><Relationship Id="rId4" Type="http://schemas.openxmlformats.org/officeDocument/2006/relationships/hyperlink" Target="https://www.ceta.org.co/html/vista_de_un_documento.asp?DocumentoID=52287" TargetMode="External"/><Relationship Id="rId9" Type="http://schemas.openxmlformats.org/officeDocument/2006/relationships/hyperlink" Target="https://www.ceta.org.co/html/vista_de_un_documento.asp?DocumentoID=52287" TargetMode="External"/><Relationship Id="rId14" Type="http://schemas.openxmlformats.org/officeDocument/2006/relationships/hyperlink" Target="https://www.ceta.org.co/html/vista_de_un_documento.asp?DocumentoID=522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1676</Words>
  <Characters>9221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cp:lastPrinted>2024-10-26T00:10:00Z</cp:lastPrinted>
  <dcterms:created xsi:type="dcterms:W3CDTF">2024-10-19T21:23:00Z</dcterms:created>
  <dcterms:modified xsi:type="dcterms:W3CDTF">2024-10-26T00:10:00Z</dcterms:modified>
</cp:coreProperties>
</file>