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76F22" w14:textId="77777777" w:rsidR="007A26FA" w:rsidRDefault="007A26FA" w:rsidP="007A26FA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es-CO"/>
        </w:rPr>
      </w:pPr>
    </w:p>
    <w:p w14:paraId="3D303051" w14:textId="77777777" w:rsidR="007A26FA" w:rsidRDefault="007A26FA" w:rsidP="007A26FA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es-CO"/>
        </w:rPr>
      </w:pPr>
    </w:p>
    <w:p w14:paraId="19D52E5B" w14:textId="77777777" w:rsidR="007A26FA" w:rsidRPr="007A26FA" w:rsidRDefault="007A26FA" w:rsidP="007A26F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b/>
          <w:bCs/>
          <w:color w:val="0000FF"/>
          <w:sz w:val="28"/>
          <w:szCs w:val="28"/>
          <w:lang w:eastAsia="es-CO"/>
        </w:rPr>
        <w:t xml:space="preserve">CONCEPTO </w:t>
      </w:r>
      <w:proofErr w:type="spellStart"/>
      <w:r w:rsidRPr="007A26FA">
        <w:rPr>
          <w:rFonts w:ascii="Segoe UI" w:eastAsia="Times New Roman" w:hAnsi="Segoe UI" w:cs="Segoe UI"/>
          <w:b/>
          <w:bCs/>
          <w:color w:val="0000FF"/>
          <w:sz w:val="28"/>
          <w:szCs w:val="28"/>
          <w:lang w:eastAsia="es-CO"/>
        </w:rPr>
        <w:t>Nº</w:t>
      </w:r>
      <w:proofErr w:type="spellEnd"/>
      <w:r w:rsidRPr="007A26FA">
        <w:rPr>
          <w:rFonts w:ascii="Segoe UI" w:eastAsia="Times New Roman" w:hAnsi="Segoe UI" w:cs="Segoe UI"/>
          <w:b/>
          <w:bCs/>
          <w:color w:val="0000FF"/>
          <w:sz w:val="28"/>
          <w:szCs w:val="28"/>
          <w:lang w:eastAsia="es-CO"/>
        </w:rPr>
        <w:t xml:space="preserve"> 100208221-687</w:t>
      </w:r>
    </w:p>
    <w:p w14:paraId="2260105C" w14:textId="77777777" w:rsidR="007A26FA" w:rsidRPr="007A26FA" w:rsidRDefault="007A26FA" w:rsidP="007A26F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b/>
          <w:bCs/>
          <w:color w:val="0000FF"/>
          <w:sz w:val="28"/>
          <w:szCs w:val="28"/>
          <w:lang w:eastAsia="es-CO"/>
        </w:rPr>
        <w:t>11-06-2020</w:t>
      </w:r>
    </w:p>
    <w:p w14:paraId="5A605A59" w14:textId="77777777" w:rsidR="007A26FA" w:rsidRPr="007A26FA" w:rsidRDefault="007A26FA" w:rsidP="007A26F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b/>
          <w:bCs/>
          <w:color w:val="0000FF"/>
          <w:sz w:val="28"/>
          <w:szCs w:val="28"/>
          <w:lang w:eastAsia="es-CO"/>
        </w:rPr>
        <w:t>DIAN</w:t>
      </w:r>
    </w:p>
    <w:p w14:paraId="3D76DE03" w14:textId="77777777" w:rsidR="007A26FA" w:rsidRPr="007A26FA" w:rsidRDefault="007A26FA" w:rsidP="007A26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 </w:t>
      </w:r>
    </w:p>
    <w:p w14:paraId="142FFACD" w14:textId="77777777" w:rsidR="007A26FA" w:rsidRPr="007A26FA" w:rsidRDefault="007A26FA" w:rsidP="007A26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 </w:t>
      </w:r>
    </w:p>
    <w:p w14:paraId="0FB5388F" w14:textId="77777777" w:rsidR="007A26FA" w:rsidRPr="007A26FA" w:rsidRDefault="007A26FA" w:rsidP="007A26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Subdirección de Gestión Normativa y Doctrina</w:t>
      </w:r>
    </w:p>
    <w:p w14:paraId="36476E43" w14:textId="77777777" w:rsidR="007A26FA" w:rsidRPr="007A26FA" w:rsidRDefault="007A26FA" w:rsidP="007A26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100208221-687</w:t>
      </w:r>
    </w:p>
    <w:p w14:paraId="6D5DCF89" w14:textId="77777777" w:rsidR="007A26FA" w:rsidRPr="007A26FA" w:rsidRDefault="007A26FA" w:rsidP="007A26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RAD: 902285</w:t>
      </w:r>
    </w:p>
    <w:p w14:paraId="42EFBABF" w14:textId="77777777" w:rsidR="007A26FA" w:rsidRPr="007A26FA" w:rsidRDefault="007A26FA" w:rsidP="007A26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Bogotá, D. C. 11/06/2020</w:t>
      </w:r>
    </w:p>
    <w:p w14:paraId="01DC1485" w14:textId="77777777" w:rsidR="007A26FA" w:rsidRPr="007A26FA" w:rsidRDefault="007A26FA" w:rsidP="007A26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 </w:t>
      </w:r>
    </w:p>
    <w:p w14:paraId="730BF1B4" w14:textId="77777777" w:rsidR="007A26FA" w:rsidRPr="007A26FA" w:rsidRDefault="007A26FA" w:rsidP="007A26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Señores</w:t>
      </w:r>
    </w:p>
    <w:p w14:paraId="2C4479DC" w14:textId="77777777" w:rsidR="007A26FA" w:rsidRPr="007A26FA" w:rsidRDefault="007A26FA" w:rsidP="007A26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b/>
          <w:bCs/>
          <w:color w:val="000000"/>
          <w:lang w:eastAsia="es-CO"/>
        </w:rPr>
        <w:t>CONTRIBUYENTES</w:t>
      </w:r>
    </w:p>
    <w:p w14:paraId="5A03B3E1" w14:textId="77777777" w:rsidR="007A26FA" w:rsidRPr="007A26FA" w:rsidRDefault="007A26FA" w:rsidP="007A26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> </w:t>
      </w: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2"/>
        <w:gridCol w:w="5110"/>
      </w:tblGrid>
      <w:tr w:rsidR="007A26FA" w:rsidRPr="007A26FA" w14:paraId="1FA76FC8" w14:textId="77777777" w:rsidTr="007A26FA">
        <w:trPr>
          <w:trHeight w:val="40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8991A" w14:textId="77777777" w:rsidR="007A26FA" w:rsidRPr="007A26FA" w:rsidRDefault="007A26FA" w:rsidP="007A2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A26FA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O"/>
              </w:rPr>
              <w:t>Tema</w:t>
            </w:r>
          </w:p>
          <w:p w14:paraId="59B65688" w14:textId="77777777" w:rsidR="007A26FA" w:rsidRPr="007A26FA" w:rsidRDefault="007A26FA" w:rsidP="007A2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A26FA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O"/>
              </w:rPr>
              <w:t>Descriptores</w:t>
            </w:r>
          </w:p>
          <w:p w14:paraId="43228250" w14:textId="77777777" w:rsidR="007A26FA" w:rsidRPr="007A26FA" w:rsidRDefault="007A26FA" w:rsidP="007A2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A26FA">
              <w:rPr>
                <w:rFonts w:ascii="Segoe UI" w:eastAsia="Times New Roman" w:hAnsi="Segoe UI" w:cs="Segoe UI"/>
                <w:b/>
                <w:bCs/>
                <w:color w:val="000000"/>
                <w:sz w:val="20"/>
                <w:szCs w:val="20"/>
                <w:lang w:eastAsia="es-CO"/>
              </w:rPr>
              <w:t>Fuentes formales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E07EA" w14:textId="77777777" w:rsidR="007A26FA" w:rsidRPr="007A26FA" w:rsidRDefault="007A26FA" w:rsidP="007A2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A26F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Impuesto sobre la renta y complementarios</w:t>
            </w:r>
          </w:p>
          <w:p w14:paraId="4FB24F1C" w14:textId="77777777" w:rsidR="007A26FA" w:rsidRPr="007A26FA" w:rsidRDefault="007A26FA" w:rsidP="007A2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7A26F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Residencia para efectos tributarios – personas naturales</w:t>
            </w:r>
          </w:p>
          <w:p w14:paraId="0691BA5F" w14:textId="77777777" w:rsidR="007A26FA" w:rsidRPr="007A26FA" w:rsidRDefault="007A26FA" w:rsidP="007A26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hyperlink r:id="rId4" w:tooltip="Estatuto Tributario CETA" w:history="1">
              <w:r w:rsidRPr="007A26FA">
                <w:rPr>
                  <w:rFonts w:ascii="Segoe UI" w:eastAsia="Times New Roman" w:hAnsi="Segoe UI" w:cs="Segoe UI"/>
                  <w:color w:val="0089E1"/>
                  <w:sz w:val="20"/>
                  <w:szCs w:val="20"/>
                  <w:lang w:eastAsia="es-CO"/>
                </w:rPr>
                <w:t>Artículo 10</w:t>
              </w:r>
            </w:hyperlink>
            <w:r w:rsidRPr="007A26FA"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es-CO"/>
              </w:rPr>
              <w:t> del Estatuto Tributario</w:t>
            </w:r>
          </w:p>
        </w:tc>
      </w:tr>
    </w:tbl>
    <w:p w14:paraId="75781801" w14:textId="77777777" w:rsidR="007A26FA" w:rsidRPr="007A26FA" w:rsidRDefault="007A26FA" w:rsidP="007A26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> </w:t>
      </w:r>
    </w:p>
    <w:p w14:paraId="1B3DE217" w14:textId="77777777" w:rsidR="007A26FA" w:rsidRPr="007A26FA" w:rsidRDefault="007A26FA" w:rsidP="007A26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> </w:t>
      </w:r>
    </w:p>
    <w:p w14:paraId="30174C6C" w14:textId="77777777" w:rsidR="007A26FA" w:rsidRPr="007A26FA" w:rsidRDefault="007A26FA" w:rsidP="007A26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De conformidad con el artículo 20 del Decreto 4048 de 2008, este Despacho está facultado para determinar y mantener la unidad doctrinal en la interpretación de normas tributarias, en materia aduanera y de control cambiario en lo de competencia de la DIAN. Por consiguiente, no corresponde a este despacho, en ejercicio de las funciones descritas anteriormente, prestar asesoría específica para atender casos particulares, ni juzgar o calificar las decisiones tomadas por otras dependencias o entidades.</w:t>
      </w:r>
    </w:p>
    <w:p w14:paraId="08DB8A54" w14:textId="77777777" w:rsidR="007A26FA" w:rsidRPr="007A26FA" w:rsidRDefault="007A26FA" w:rsidP="007A26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 </w:t>
      </w:r>
    </w:p>
    <w:p w14:paraId="695669BE" w14:textId="77777777" w:rsidR="007A26FA" w:rsidRPr="007A26FA" w:rsidRDefault="007A26FA" w:rsidP="007A26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En este sentido, este despacho considera necesario pronunciarse respecto a la aplicación del Concepto 612 del 26 de mayo de 2020, así:</w:t>
      </w:r>
    </w:p>
    <w:p w14:paraId="332384D3" w14:textId="77777777" w:rsidR="007A26FA" w:rsidRPr="007A26FA" w:rsidRDefault="007A26FA" w:rsidP="007A26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 </w:t>
      </w:r>
    </w:p>
    <w:p w14:paraId="74AB7495" w14:textId="77777777" w:rsidR="007A26FA" w:rsidRPr="007A26FA" w:rsidRDefault="007A26FA" w:rsidP="007A26FA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• Las consideraciones del Concepto 612 del 26 de mayo de 2020 son aplicables, esto es, las disposiciones consagradas en el numeral 1 del </w:t>
      </w:r>
      <w:hyperlink r:id="rId5" w:tooltip="Estatuto Tributario CETA" w:history="1">
        <w:r w:rsidRPr="007A26FA">
          <w:rPr>
            <w:rFonts w:ascii="Segoe UI" w:eastAsia="Times New Roman" w:hAnsi="Segoe UI" w:cs="Segoe UI"/>
            <w:color w:val="0089E1"/>
            <w:lang w:eastAsia="es-CO"/>
          </w:rPr>
          <w:t>artículo 10</w:t>
        </w:r>
      </w:hyperlink>
      <w:r w:rsidRPr="007A26FA">
        <w:rPr>
          <w:rFonts w:ascii="Segoe UI" w:eastAsia="Times New Roman" w:hAnsi="Segoe UI" w:cs="Segoe UI"/>
          <w:color w:val="000000"/>
          <w:lang w:eastAsia="es-CO"/>
        </w:rPr>
        <w:t> del Estatuto Tributario no se encuentran suspendidas durante la Emergencia Sanitaria declarada por el Ministerio de Salud y Protección Social.</w:t>
      </w:r>
    </w:p>
    <w:p w14:paraId="70A4617A" w14:textId="77777777" w:rsidR="007A26FA" w:rsidRPr="007A26FA" w:rsidRDefault="007A26FA" w:rsidP="007A26FA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• Lo anterior sin perjuicio de:</w:t>
      </w:r>
    </w:p>
    <w:p w14:paraId="6D3C6E24" w14:textId="77777777" w:rsidR="007A26FA" w:rsidRPr="007A26FA" w:rsidRDefault="007A26FA" w:rsidP="007A26FA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 </w:t>
      </w:r>
    </w:p>
    <w:p w14:paraId="425A5FC7" w14:textId="77777777" w:rsidR="007A26FA" w:rsidRPr="007A26FA" w:rsidRDefault="007A26FA" w:rsidP="007A26FA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- Las reglas de desempate previstas en los convenios para evitar la doble imposición suscritos por Colombia y que se encuentran vigentes, soportados en el principio internacional del </w:t>
      </w:r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 xml:space="preserve">pacta sunt </w:t>
      </w:r>
      <w:proofErr w:type="spellStart"/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>servanda</w:t>
      </w:r>
      <w:proofErr w:type="spellEnd"/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> </w:t>
      </w:r>
      <w:r w:rsidRPr="007A26FA">
        <w:rPr>
          <w:rFonts w:ascii="Segoe UI" w:eastAsia="Times New Roman" w:hAnsi="Segoe UI" w:cs="Segoe UI"/>
          <w:color w:val="000000"/>
          <w:lang w:eastAsia="es-CO"/>
        </w:rPr>
        <w:t>previsto en la Convención de Viena de 1969 sobre el Derecho de los Tratados.</w:t>
      </w:r>
    </w:p>
    <w:p w14:paraId="20192325" w14:textId="77777777" w:rsidR="007A26FA" w:rsidRPr="007A26FA" w:rsidRDefault="007A26FA" w:rsidP="007A26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 </w:t>
      </w:r>
    </w:p>
    <w:p w14:paraId="7F6611B6" w14:textId="77777777" w:rsidR="007A26FA" w:rsidRPr="007A26FA" w:rsidRDefault="007A26FA" w:rsidP="007A26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Las recomendaciones de la OCDE se encuentran en la misma línea, en donde se sugiere aplicar las reglas de desempate establecidas en el artículo 4 del Modelo de Convenio OCDE (</w:t>
      </w:r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 xml:space="preserve">OECD </w:t>
      </w:r>
      <w:proofErr w:type="spellStart"/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>Secretariat</w:t>
      </w:r>
      <w:proofErr w:type="spellEnd"/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 xml:space="preserve"> </w:t>
      </w:r>
      <w:proofErr w:type="spellStart"/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>Analysis</w:t>
      </w:r>
      <w:proofErr w:type="spellEnd"/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 xml:space="preserve"> </w:t>
      </w:r>
      <w:proofErr w:type="spellStart"/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>of</w:t>
      </w:r>
      <w:proofErr w:type="spellEnd"/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 xml:space="preserve"> </w:t>
      </w:r>
      <w:proofErr w:type="spellStart"/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>Tax</w:t>
      </w:r>
      <w:proofErr w:type="spellEnd"/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 xml:space="preserve"> </w:t>
      </w:r>
      <w:proofErr w:type="spellStart"/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>Treaties</w:t>
      </w:r>
      <w:proofErr w:type="spellEnd"/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 xml:space="preserve"> and </w:t>
      </w:r>
      <w:proofErr w:type="spellStart"/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>the</w:t>
      </w:r>
      <w:proofErr w:type="spellEnd"/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 xml:space="preserve"> </w:t>
      </w:r>
      <w:proofErr w:type="spellStart"/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>Impact</w:t>
      </w:r>
      <w:proofErr w:type="spellEnd"/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 xml:space="preserve"> </w:t>
      </w:r>
      <w:proofErr w:type="spellStart"/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>of</w:t>
      </w:r>
      <w:proofErr w:type="spellEnd"/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 xml:space="preserve"> </w:t>
      </w:r>
      <w:proofErr w:type="spellStart"/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>the</w:t>
      </w:r>
      <w:proofErr w:type="spellEnd"/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 xml:space="preserve"> COVID-19 Crisis</w:t>
      </w:r>
      <w:r w:rsidRPr="007A26FA">
        <w:rPr>
          <w:rFonts w:ascii="Segoe UI" w:eastAsia="Times New Roman" w:hAnsi="Segoe UI" w:cs="Segoe UI"/>
          <w:color w:val="000000"/>
          <w:lang w:eastAsia="es-CO"/>
        </w:rPr>
        <w:t>).</w:t>
      </w:r>
    </w:p>
    <w:p w14:paraId="09C27A11" w14:textId="77777777" w:rsidR="007A26FA" w:rsidRPr="007A26FA" w:rsidRDefault="007A26FA" w:rsidP="007A26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> </w:t>
      </w:r>
    </w:p>
    <w:p w14:paraId="04D196E7" w14:textId="77777777" w:rsidR="007A26FA" w:rsidRPr="007A26FA" w:rsidRDefault="007A26FA" w:rsidP="007A26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 xml:space="preserve">A modo de ejemplo, el convenio para evitar la doble imposición entre Colombia y España señala </w:t>
      </w:r>
      <w:proofErr w:type="gramStart"/>
      <w:r w:rsidRPr="007A26FA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>que</w:t>
      </w:r>
      <w:proofErr w:type="gramEnd"/>
      <w:r w:rsidRPr="007A26FA">
        <w:rPr>
          <w:rFonts w:ascii="Segoe UI" w:eastAsia="Times New Roman" w:hAnsi="Segoe UI" w:cs="Segoe UI"/>
          <w:color w:val="000000"/>
          <w:sz w:val="18"/>
          <w:szCs w:val="18"/>
          <w:lang w:eastAsia="es-CO"/>
        </w:rPr>
        <w:t xml:space="preserve"> si una persona es residente de ambos Estados y tiene una vivienda permanente a su disposición en ambos Estados, se considerará residente del Estado con el que mantenga relaciones personales y económicas más estrechas (centro de intereses vitales). Por lo tanto, cuando una persona extranjera (no nacional) sea residente fiscal en ambos Estados contratantes, tenga una vivienda permanente a su disposición en los mismos y su centro de intereses vitales se encuentre en España, su situación se resolvería a favor de este último país, y los días adicionales que haya permanecido en Colombia con ocasión del coronavirus no debería afectar la anterior conclusión.</w:t>
      </w:r>
    </w:p>
    <w:p w14:paraId="7796BC49" w14:textId="77777777" w:rsidR="007A26FA" w:rsidRPr="007A26FA" w:rsidRDefault="007A26FA" w:rsidP="007A26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 </w:t>
      </w:r>
    </w:p>
    <w:p w14:paraId="6CC22857" w14:textId="77777777" w:rsidR="007A26FA" w:rsidRPr="007A26FA" w:rsidRDefault="007A26FA" w:rsidP="007A26FA">
      <w:pPr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- Los eventos de fuerza mayor o caso fortuito en los términos del artículo 64 del Código Civil, para lo cual las personas naturales deben probar y justificar, en cada caso particular, que la crisis derivada del coronavirus es un “</w:t>
      </w:r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>imprevisto a que no es posible resistir (…)”, </w:t>
      </w:r>
      <w:r w:rsidRPr="007A26FA">
        <w:rPr>
          <w:rFonts w:ascii="Segoe UI" w:eastAsia="Times New Roman" w:hAnsi="Segoe UI" w:cs="Segoe UI"/>
          <w:color w:val="000000"/>
          <w:lang w:eastAsia="es-CO"/>
        </w:rPr>
        <w:t xml:space="preserve">que obligó a permanecer en el territorio nacional más días de los previstos y contra su voluntad. Por ejemplo, este podría ser el caso de una persona extranjera (no nacional) que tuviera un vuelo </w:t>
      </w:r>
      <w:r w:rsidRPr="007A26FA">
        <w:rPr>
          <w:rFonts w:ascii="Segoe UI" w:eastAsia="Times New Roman" w:hAnsi="Segoe UI" w:cs="Segoe UI"/>
          <w:color w:val="000000"/>
          <w:lang w:eastAsia="es-CO"/>
        </w:rPr>
        <w:lastRenderedPageBreak/>
        <w:t>programado y la pandemia del coronavirus haya configurado una situación imprevisible e irresistible que le haya impedido salir del país, y contra su voluntad haya tenido que permanecer en Colombia sin realizar actividades económicas.</w:t>
      </w:r>
    </w:p>
    <w:p w14:paraId="6F927A21" w14:textId="77777777" w:rsidR="007A26FA" w:rsidRPr="007A26FA" w:rsidRDefault="007A26FA" w:rsidP="007A26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 </w:t>
      </w:r>
    </w:p>
    <w:p w14:paraId="61642CD0" w14:textId="77777777" w:rsidR="007A26FA" w:rsidRPr="007A26FA" w:rsidRDefault="007A26FA" w:rsidP="007A26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Finalmente le manifestamos que la Dirección de Impuestos y Aduanas Nacionales - DIAN-, con el fin de facilitar a los contribuyentes, usuarios y público en general el acceso directo a sus pronunciamientos doctrinarios, ha publicado en su página de internet </w:t>
      </w:r>
      <w:hyperlink r:id="rId6" w:history="1">
        <w:r w:rsidRPr="007A26FA">
          <w:rPr>
            <w:rFonts w:ascii="Segoe UI" w:eastAsia="Times New Roman" w:hAnsi="Segoe UI" w:cs="Segoe UI"/>
            <w:color w:val="0563C1"/>
            <w:lang w:eastAsia="es-CO"/>
          </w:rPr>
          <w:t>www.dian.gov.co</w:t>
        </w:r>
      </w:hyperlink>
      <w:r w:rsidRPr="007A26FA">
        <w:rPr>
          <w:rFonts w:ascii="Segoe UI" w:eastAsia="Times New Roman" w:hAnsi="Segoe UI" w:cs="Segoe UI"/>
          <w:color w:val="000000"/>
          <w:lang w:eastAsia="es-CO"/>
        </w:rPr>
        <w:t xml:space="preserve">, la base de conceptos en materia tributaria, aduanera y cambiaria expedidos desde el año 2001, la cual se puede ingresar por el ícono de “Normatividad”–”técnica”–, dando </w:t>
      </w:r>
      <w:proofErr w:type="spellStart"/>
      <w:r w:rsidRPr="007A26FA">
        <w:rPr>
          <w:rFonts w:ascii="Segoe UI" w:eastAsia="Times New Roman" w:hAnsi="Segoe UI" w:cs="Segoe UI"/>
          <w:color w:val="000000"/>
          <w:lang w:eastAsia="es-CO"/>
        </w:rPr>
        <w:t>click</w:t>
      </w:r>
      <w:proofErr w:type="spellEnd"/>
      <w:r w:rsidRPr="007A26FA">
        <w:rPr>
          <w:rFonts w:ascii="Segoe UI" w:eastAsia="Times New Roman" w:hAnsi="Segoe UI" w:cs="Segoe UI"/>
          <w:color w:val="000000"/>
          <w:lang w:eastAsia="es-CO"/>
        </w:rPr>
        <w:t xml:space="preserve"> en el link “Doctrina Dirección de Gestión Jurídica”.</w:t>
      </w:r>
    </w:p>
    <w:p w14:paraId="142D1BD7" w14:textId="77777777" w:rsidR="007A26FA" w:rsidRDefault="007A26FA" w:rsidP="007A26FA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es-CO"/>
        </w:rPr>
      </w:pPr>
    </w:p>
    <w:p w14:paraId="6E6ABAE7" w14:textId="77777777" w:rsidR="007A26FA" w:rsidRDefault="007A26FA" w:rsidP="007A26FA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es-CO"/>
        </w:rPr>
      </w:pPr>
    </w:p>
    <w:p w14:paraId="7654BA5C" w14:textId="2191B8C9" w:rsidR="007A26FA" w:rsidRPr="007A26FA" w:rsidRDefault="007A26FA" w:rsidP="007A26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Atentamente,</w:t>
      </w:r>
    </w:p>
    <w:p w14:paraId="2B7E61D8" w14:textId="77777777" w:rsidR="007A26FA" w:rsidRPr="007A26FA" w:rsidRDefault="007A26FA" w:rsidP="007A26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color w:val="000000"/>
          <w:lang w:eastAsia="es-CO"/>
        </w:rPr>
        <w:t> </w:t>
      </w:r>
    </w:p>
    <w:p w14:paraId="2A7C7037" w14:textId="77777777" w:rsidR="007A26FA" w:rsidRPr="007A26FA" w:rsidRDefault="007A26FA" w:rsidP="007A26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b/>
          <w:bCs/>
          <w:color w:val="000000"/>
          <w:lang w:eastAsia="es-CO"/>
        </w:rPr>
        <w:t>El Subdirector de Gestión Normativa y Doctrina,</w:t>
      </w:r>
    </w:p>
    <w:p w14:paraId="02E9B22B" w14:textId="77777777" w:rsidR="007A26FA" w:rsidRPr="007A26FA" w:rsidRDefault="007A26FA" w:rsidP="007A26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> </w:t>
      </w:r>
    </w:p>
    <w:p w14:paraId="5A64DA56" w14:textId="77777777" w:rsidR="007A26FA" w:rsidRPr="007A26FA" w:rsidRDefault="007A26FA" w:rsidP="007A26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i/>
          <w:iCs/>
          <w:color w:val="000000"/>
          <w:lang w:eastAsia="es-CO"/>
        </w:rPr>
        <w:t>Pablo Emilio Mendoza Velilla,</w:t>
      </w:r>
    </w:p>
    <w:p w14:paraId="6A18F05B" w14:textId="77777777" w:rsidR="007A26FA" w:rsidRPr="007A26FA" w:rsidRDefault="007A26FA" w:rsidP="007A26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b/>
          <w:bCs/>
          <w:color w:val="000000"/>
          <w:lang w:eastAsia="es-CO"/>
        </w:rPr>
        <w:t>Dirección de Gestión Jurídica,</w:t>
      </w:r>
    </w:p>
    <w:p w14:paraId="59C9BF1B" w14:textId="77777777" w:rsidR="007A26FA" w:rsidRPr="007A26FA" w:rsidRDefault="007A26FA" w:rsidP="007A26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b/>
          <w:bCs/>
          <w:color w:val="000000"/>
          <w:sz w:val="18"/>
          <w:szCs w:val="18"/>
          <w:lang w:eastAsia="es-CO"/>
        </w:rPr>
        <w:t>U.A.E. - Dirección de Impuestos y Aduanas Nacionales,</w:t>
      </w:r>
    </w:p>
    <w:p w14:paraId="2BB545CD" w14:textId="77777777" w:rsidR="007A26FA" w:rsidRPr="007A26FA" w:rsidRDefault="007A26FA" w:rsidP="007A26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s-CO"/>
        </w:rPr>
        <w:t> </w:t>
      </w:r>
    </w:p>
    <w:p w14:paraId="64439EE4" w14:textId="77777777" w:rsidR="007A26FA" w:rsidRPr="007A26FA" w:rsidRDefault="007A26FA" w:rsidP="007A26F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CO"/>
        </w:rPr>
      </w:pPr>
      <w:r w:rsidRPr="007A26FA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s-CO"/>
        </w:rPr>
        <w:t xml:space="preserve">Publicado en D.O. 51.343 del 12 de </w:t>
      </w:r>
      <w:proofErr w:type="gramStart"/>
      <w:r w:rsidRPr="007A26FA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s-CO"/>
        </w:rPr>
        <w:t>Junio</w:t>
      </w:r>
      <w:proofErr w:type="gramEnd"/>
      <w:r w:rsidRPr="007A26FA">
        <w:rPr>
          <w:rFonts w:ascii="Segoe UI" w:eastAsia="Times New Roman" w:hAnsi="Segoe UI" w:cs="Segoe UI"/>
          <w:b/>
          <w:bCs/>
          <w:color w:val="000000"/>
          <w:sz w:val="20"/>
          <w:szCs w:val="20"/>
          <w:lang w:eastAsia="es-CO"/>
        </w:rPr>
        <w:t xml:space="preserve"> de 2020.</w:t>
      </w:r>
    </w:p>
    <w:p w14:paraId="54E4B720" w14:textId="77777777" w:rsidR="007F5CC8" w:rsidRDefault="007F5CC8" w:rsidP="007A26FA">
      <w:pPr>
        <w:jc w:val="both"/>
      </w:pPr>
    </w:p>
    <w:sectPr w:rsidR="007F5CC8" w:rsidSect="00EB5ADB">
      <w:type w:val="continuous"/>
      <w:pgSz w:w="12191" w:h="18711"/>
      <w:pgMar w:top="1134" w:right="1134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28E"/>
    <w:rsid w:val="000A228E"/>
    <w:rsid w:val="000F3837"/>
    <w:rsid w:val="001E311E"/>
    <w:rsid w:val="00434AE6"/>
    <w:rsid w:val="007A26FA"/>
    <w:rsid w:val="007F5CC8"/>
    <w:rsid w:val="008779BE"/>
    <w:rsid w:val="00EB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FC03C"/>
  <w15:chartTrackingRefBased/>
  <w15:docId w15:val="{B7D3E280-4F76-4646-A2EE-A3AE9AEB9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3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an.gov.co/" TargetMode="External"/><Relationship Id="rId5" Type="http://schemas.openxmlformats.org/officeDocument/2006/relationships/hyperlink" Target="https://www.ceta.org.co/html/vista_de_un_articulo.asp?Norma=32" TargetMode="External"/><Relationship Id="rId4" Type="http://schemas.openxmlformats.org/officeDocument/2006/relationships/hyperlink" Target="https://www.ceta.org.co/html/vista_de_un_articulo.asp?Norma=3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664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CNETCO</dc:creator>
  <cp:keywords/>
  <dc:description/>
  <cp:lastModifiedBy>CNETCO</cp:lastModifiedBy>
  <cp:revision>1</cp:revision>
  <dcterms:created xsi:type="dcterms:W3CDTF">2020-07-15T23:48:00Z</dcterms:created>
  <dcterms:modified xsi:type="dcterms:W3CDTF">2020-07-16T00:11:00Z</dcterms:modified>
</cp:coreProperties>
</file>