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6F22" w14:textId="77777777" w:rsidR="007A26FA" w:rsidRDefault="007A26FA" w:rsidP="00323B2C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3D303051" w14:textId="77777777" w:rsidR="007A26FA" w:rsidRDefault="007A26FA" w:rsidP="00323B2C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19D52E5B" w14:textId="77777777" w:rsidR="007A26FA" w:rsidRPr="007A26FA" w:rsidRDefault="007A26FA" w:rsidP="00323B2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CONCEPTO </w:t>
      </w:r>
      <w:proofErr w:type="spellStart"/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Nº</w:t>
      </w:r>
      <w:proofErr w:type="spellEnd"/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 100208221-687</w:t>
      </w:r>
    </w:p>
    <w:p w14:paraId="2260105C" w14:textId="77777777" w:rsidR="007A26FA" w:rsidRPr="007A26FA" w:rsidRDefault="007A26FA" w:rsidP="00323B2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11-06-2020</w:t>
      </w:r>
    </w:p>
    <w:p w14:paraId="5A605A59" w14:textId="77777777" w:rsidR="007A26FA" w:rsidRPr="007A26FA" w:rsidRDefault="007A26FA" w:rsidP="00323B2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DIAN</w:t>
      </w:r>
    </w:p>
    <w:p w14:paraId="3D76DE03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142FFACD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0FB5388F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Subdirección de Gestión Normativa y Doctrina</w:t>
      </w:r>
    </w:p>
    <w:p w14:paraId="36476E43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100208221-687</w:t>
      </w:r>
    </w:p>
    <w:p w14:paraId="6D5DCF89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RAD: 902285</w:t>
      </w:r>
    </w:p>
    <w:p w14:paraId="42EFBABF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Bogotá, D. C. 11/06/2020</w:t>
      </w:r>
    </w:p>
    <w:p w14:paraId="01DC1485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30BF1B4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Señores</w:t>
      </w:r>
    </w:p>
    <w:p w14:paraId="2C4479DC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CONTRIBUYENTES</w:t>
      </w:r>
    </w:p>
    <w:p w14:paraId="5A03B3E1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5110"/>
      </w:tblGrid>
      <w:tr w:rsidR="007A26FA" w:rsidRPr="007A26FA" w14:paraId="1FA76FC8" w14:textId="77777777" w:rsidTr="007A26FA">
        <w:trPr>
          <w:trHeight w:val="4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991A" w14:textId="77777777" w:rsidR="007A26FA" w:rsidRPr="007A26FA" w:rsidRDefault="007A26FA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Tema</w:t>
            </w:r>
          </w:p>
          <w:p w14:paraId="59B65688" w14:textId="77777777" w:rsidR="007A26FA" w:rsidRPr="007A26FA" w:rsidRDefault="007A26FA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Descriptores</w:t>
            </w:r>
          </w:p>
          <w:p w14:paraId="43228250" w14:textId="77777777" w:rsidR="007A26FA" w:rsidRPr="007A26FA" w:rsidRDefault="007A26FA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7EA" w14:textId="77777777" w:rsidR="007A26FA" w:rsidRPr="007A26FA" w:rsidRDefault="007A26FA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Impuesto sobre la renta y complementarios</w:t>
            </w:r>
          </w:p>
          <w:p w14:paraId="4FB24F1C" w14:textId="77777777" w:rsidR="007A26FA" w:rsidRPr="007A26FA" w:rsidRDefault="007A26FA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Residencia para efectos tributarios – personas naturales</w:t>
            </w:r>
          </w:p>
          <w:p w14:paraId="0691BA5F" w14:textId="77777777" w:rsidR="007A26FA" w:rsidRPr="007A26FA" w:rsidRDefault="00323B2C" w:rsidP="00323B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4" w:tooltip="Estatuto Tributario CETA" w:history="1">
              <w:r w:rsidR="007A26FA" w:rsidRPr="007A26FA">
                <w:rPr>
                  <w:rFonts w:ascii="Segoe UI" w:eastAsia="Times New Roman" w:hAnsi="Segoe UI" w:cs="Segoe UI"/>
                  <w:color w:val="0089E1"/>
                  <w:sz w:val="20"/>
                  <w:szCs w:val="20"/>
                  <w:lang w:eastAsia="es-CO"/>
                </w:rPr>
                <w:t>Artículo 10</w:t>
              </w:r>
            </w:hyperlink>
            <w:r w:rsidR="007A26FA"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 del Estatuto Tributario</w:t>
            </w:r>
          </w:p>
        </w:tc>
      </w:tr>
    </w:tbl>
    <w:p w14:paraId="75781801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1B3DE217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30174C6C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De conformidad con el artículo 20 del Decreto 4048 de 2008, este Despacho está facultado para determinar y mantener la unidad doctrinal en la interpretación de normas tributarias, en materia aduanera y de control cambiario en lo de competencia de la DIAN.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08DB8A54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695669BE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En este sentido, este despacho considera necesario pronunciarse respecto a la aplicación del Concepto 612 del 26 de mayo de 2020, así:</w:t>
      </w:r>
    </w:p>
    <w:p w14:paraId="332384D3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4AB7495" w14:textId="77777777" w:rsidR="007A26FA" w:rsidRPr="007A26FA" w:rsidRDefault="007A26FA" w:rsidP="00323B2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• Las consideraciones del Concepto 612 del 26 de mayo de 2020 son aplicables, esto es, las disposiciones consagradas en el numeral 1 del </w:t>
      </w:r>
      <w:hyperlink r:id="rId5" w:tooltip="Estatuto Tributario CETA" w:history="1">
        <w:r w:rsidRPr="007A26FA">
          <w:rPr>
            <w:rFonts w:ascii="Segoe UI" w:eastAsia="Times New Roman" w:hAnsi="Segoe UI" w:cs="Segoe UI"/>
            <w:color w:val="0089E1"/>
            <w:lang w:eastAsia="es-CO"/>
          </w:rPr>
          <w:t>artículo 10</w:t>
        </w:r>
      </w:hyperlink>
      <w:r w:rsidRPr="007A26FA">
        <w:rPr>
          <w:rFonts w:ascii="Segoe UI" w:eastAsia="Times New Roman" w:hAnsi="Segoe UI" w:cs="Segoe UI"/>
          <w:color w:val="000000"/>
          <w:lang w:eastAsia="es-CO"/>
        </w:rPr>
        <w:t> del Estatuto Tributario no se encuentran suspendidas durante la Emergencia Sanitaria declarada por el Ministerio de Salud y Protección Social.</w:t>
      </w:r>
    </w:p>
    <w:p w14:paraId="70A4617A" w14:textId="77777777" w:rsidR="007A26FA" w:rsidRPr="007A26FA" w:rsidRDefault="007A26FA" w:rsidP="00323B2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• Lo anterior sin perjuicio de:</w:t>
      </w:r>
    </w:p>
    <w:p w14:paraId="6D3C6E24" w14:textId="77777777" w:rsidR="007A26FA" w:rsidRPr="007A26FA" w:rsidRDefault="007A26FA" w:rsidP="00323B2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425A5FC7" w14:textId="77777777" w:rsidR="007A26FA" w:rsidRPr="007A26FA" w:rsidRDefault="007A26FA" w:rsidP="00323B2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lastRenderedPageBreak/>
        <w:t>- Las reglas de desempate previstas en los convenios para evitar la doble imposición suscritos por Colombia y que se encuentran vigentes, soportados en el principio internacional del 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pacta sunt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servanda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 </w:t>
      </w:r>
      <w:r w:rsidRPr="007A26FA">
        <w:rPr>
          <w:rFonts w:ascii="Segoe UI" w:eastAsia="Times New Roman" w:hAnsi="Segoe UI" w:cs="Segoe UI"/>
          <w:color w:val="000000"/>
          <w:lang w:eastAsia="es-CO"/>
        </w:rPr>
        <w:t>previsto en la Convención de Viena de 1969 sobre el Derecho de los Tratados.</w:t>
      </w:r>
    </w:p>
    <w:p w14:paraId="20192325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F6611B6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Las recomendaciones de la OCDE se encuentran en la misma línea, en donde se sugiere aplicar las reglas de desempate establecidas en el artículo 4 del Modelo de Convenio OCDE (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OECD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Secretariat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Analysis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of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Tax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Treaties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and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the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Impact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of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the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COVID-19 Crisis</w:t>
      </w:r>
      <w:r w:rsidRPr="007A26FA">
        <w:rPr>
          <w:rFonts w:ascii="Segoe UI" w:eastAsia="Times New Roman" w:hAnsi="Segoe UI" w:cs="Segoe UI"/>
          <w:color w:val="000000"/>
          <w:lang w:eastAsia="es-CO"/>
        </w:rPr>
        <w:t>).</w:t>
      </w:r>
    </w:p>
    <w:p w14:paraId="09C27A11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04D196E7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A modo de ejemplo, el convenio para evitar la doble imposición entre Colombia y España señala </w:t>
      </w:r>
      <w:proofErr w:type="gramStart"/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que</w:t>
      </w:r>
      <w:proofErr w:type="gramEnd"/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 si una persona es residente de ambos Estados y tiene una vivienda permanente a su disposición en ambos Estados, se considerará residente del Estado con el que mantenga relaciones personales y económicas más estrechas (centro de intereses vitales). Por lo tanto, cuando una persona extranjera (no nacional) sea residente fiscal en ambos Estados contratantes, tenga una vivienda permanente a su disposición en los mismos y su centro de intereses vitales se encuentre en España, su situación se resolvería a favor de este último país, y los días adicionales que haya permanecido en Colombia con ocasión del coronavirus no debería afectar la anterior conclusión.</w:t>
      </w:r>
    </w:p>
    <w:p w14:paraId="7796BC49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6CC22857" w14:textId="77777777" w:rsidR="007A26FA" w:rsidRPr="007A26FA" w:rsidRDefault="007A26FA" w:rsidP="00323B2C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- Los eventos de fuerza mayor o caso fortuito en los términos del artículo 64 del Código Civil, para lo cual las personas naturales deben probar y justificar, en cada caso particular, que la crisis derivada del coronavirus es un “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imprevisto a que no es posible resistir (…)”, </w:t>
      </w:r>
      <w:r w:rsidRPr="007A26FA">
        <w:rPr>
          <w:rFonts w:ascii="Segoe UI" w:eastAsia="Times New Roman" w:hAnsi="Segoe UI" w:cs="Segoe UI"/>
          <w:color w:val="000000"/>
          <w:lang w:eastAsia="es-CO"/>
        </w:rPr>
        <w:t>que obligó a permanecer en el territorio nacional más días de los previstos y contra su voluntad. Por ejemplo, este podría ser el caso de una persona extranjera (no nacional) que tuviera un vuelo programado y la pandemia del coronavirus haya configurado una situación imprevisible e irresistible que le haya impedido salir del país, y contra su voluntad haya tenido que permanecer en Colombia sin realizar actividades económicas.</w:t>
      </w:r>
    </w:p>
    <w:p w14:paraId="6F927A21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142D1BD7" w14:textId="77777777" w:rsidR="007A26FA" w:rsidRDefault="007A26FA" w:rsidP="00323B2C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6E6ABAE7" w14:textId="77777777" w:rsidR="007A26FA" w:rsidRDefault="007A26FA" w:rsidP="00323B2C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7654BA5C" w14:textId="2191B8C9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Atentamente,</w:t>
      </w:r>
    </w:p>
    <w:p w14:paraId="2B7E61D8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2A7C7037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El Subdirector de Gestión Normativa y Doctrina,</w:t>
      </w:r>
    </w:p>
    <w:p w14:paraId="02E9B22B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 </w:t>
      </w:r>
    </w:p>
    <w:p w14:paraId="5A64DA56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Pablo Emilio Mendoza Velilla,</w:t>
      </w:r>
    </w:p>
    <w:p w14:paraId="6A18F05B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Dirección de Gestión Jurídica,</w:t>
      </w:r>
    </w:p>
    <w:p w14:paraId="59C9BF1B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CO"/>
        </w:rPr>
        <w:t>U.A.E. - Dirección de Impuestos y Aduanas Nacionales,</w:t>
      </w:r>
    </w:p>
    <w:p w14:paraId="2BB545CD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> </w:t>
      </w:r>
    </w:p>
    <w:p w14:paraId="64439EE4" w14:textId="77777777" w:rsidR="007A26FA" w:rsidRPr="007A26FA" w:rsidRDefault="007A26FA" w:rsidP="00323B2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 xml:space="preserve">Publicado en D.O. 51.343 del 12 de </w:t>
      </w:r>
      <w:proofErr w:type="gramStart"/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>Junio</w:t>
      </w:r>
      <w:proofErr w:type="gramEnd"/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 xml:space="preserve"> de 2020.</w:t>
      </w:r>
    </w:p>
    <w:p w14:paraId="54E4B720" w14:textId="77777777" w:rsidR="007F5CC8" w:rsidRDefault="007F5CC8" w:rsidP="00323B2C">
      <w:pPr>
        <w:spacing w:line="360" w:lineRule="auto"/>
        <w:jc w:val="both"/>
      </w:pPr>
    </w:p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E"/>
    <w:rsid w:val="000A228E"/>
    <w:rsid w:val="000F3837"/>
    <w:rsid w:val="001E311E"/>
    <w:rsid w:val="00323B2C"/>
    <w:rsid w:val="00434AE6"/>
    <w:rsid w:val="007A26FA"/>
    <w:rsid w:val="007F5CC8"/>
    <w:rsid w:val="008779BE"/>
    <w:rsid w:val="00EB5ADB"/>
    <w:rsid w:val="00E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C03C"/>
  <w15:chartTrackingRefBased/>
  <w15:docId w15:val="{B7D3E280-4F76-4646-A2EE-A3AE9AEB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ta.org.co/html/vista_de_un_articulo.asp?Norma=32" TargetMode="External"/><Relationship Id="rId4" Type="http://schemas.openxmlformats.org/officeDocument/2006/relationships/hyperlink" Target="https://www.ceta.org.co/html/vista_de_un_articulo.asp?Norma=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Guillermo Alzate Duque</cp:lastModifiedBy>
  <cp:revision>2</cp:revision>
  <dcterms:created xsi:type="dcterms:W3CDTF">2021-05-24T22:51:00Z</dcterms:created>
  <dcterms:modified xsi:type="dcterms:W3CDTF">2021-05-24T22:51:00Z</dcterms:modified>
</cp:coreProperties>
</file>