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65261" w14:textId="77777777" w:rsidR="00A25F98" w:rsidRPr="00A25F98" w:rsidRDefault="00A25F98" w:rsidP="00A25F98">
      <w:pPr>
        <w:pStyle w:val="text-align-center"/>
        <w:shd w:val="clear" w:color="auto" w:fill="FFFFFF"/>
        <w:spacing w:before="0" w:beforeAutospacing="0" w:after="150" w:afterAutospacing="0" w:line="360" w:lineRule="auto"/>
        <w:jc w:val="center"/>
        <w:rPr>
          <w:rFonts w:ascii="Helvetica" w:hAnsi="Helvetica" w:cs="Helvetica"/>
        </w:rPr>
      </w:pPr>
      <w:r w:rsidRPr="00A25F98">
        <w:rPr>
          <w:rFonts w:ascii="Helvetica" w:hAnsi="Helvetica" w:cs="Helvetica"/>
          <w:b/>
          <w:bCs/>
        </w:rPr>
        <w:t>Concepto 618 [014941]</w:t>
      </w:r>
    </w:p>
    <w:p w14:paraId="6E833E9C" w14:textId="77777777" w:rsidR="00A25F98" w:rsidRPr="00A25F98" w:rsidRDefault="00A25F98" w:rsidP="00A25F98">
      <w:pPr>
        <w:pStyle w:val="text-align-center"/>
        <w:shd w:val="clear" w:color="auto" w:fill="FFFFFF"/>
        <w:spacing w:before="0" w:beforeAutospacing="0" w:after="150" w:afterAutospacing="0" w:line="360" w:lineRule="auto"/>
        <w:jc w:val="center"/>
        <w:rPr>
          <w:rFonts w:ascii="Helvetica" w:hAnsi="Helvetica" w:cs="Helvetica"/>
        </w:rPr>
      </w:pPr>
      <w:r w:rsidRPr="00A25F98">
        <w:rPr>
          <w:rFonts w:ascii="Helvetica" w:hAnsi="Helvetica" w:cs="Helvetica"/>
          <w:b/>
          <w:bCs/>
        </w:rPr>
        <w:t>30-07-2024</w:t>
      </w:r>
    </w:p>
    <w:p w14:paraId="3C05CBC0" w14:textId="77777777" w:rsidR="00A25F98" w:rsidRPr="00A25F98" w:rsidRDefault="00A25F98" w:rsidP="00A25F98">
      <w:pPr>
        <w:pStyle w:val="text-align-center"/>
        <w:shd w:val="clear" w:color="auto" w:fill="FFFFFF"/>
        <w:spacing w:before="0" w:beforeAutospacing="0" w:after="150" w:afterAutospacing="0" w:line="360" w:lineRule="auto"/>
        <w:jc w:val="center"/>
        <w:rPr>
          <w:rFonts w:ascii="Helvetica" w:hAnsi="Helvetica" w:cs="Helvetica"/>
        </w:rPr>
      </w:pPr>
      <w:r w:rsidRPr="00A25F98">
        <w:rPr>
          <w:rFonts w:ascii="Helvetica" w:hAnsi="Helvetica" w:cs="Helvetica"/>
          <w:b/>
          <w:bCs/>
        </w:rPr>
        <w:t>DIAN</w:t>
      </w:r>
    </w:p>
    <w:p w14:paraId="45665FF0" w14:textId="4ACEF4E8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center"/>
        <w:rPr>
          <w:rFonts w:ascii="Helvetica" w:hAnsi="Helvetica" w:cs="Helvetica"/>
        </w:rPr>
      </w:pPr>
    </w:p>
    <w:p w14:paraId="2DA6BE77" w14:textId="206AA5D0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t>100208192-618</w:t>
      </w:r>
    </w:p>
    <w:p w14:paraId="36A56D9E" w14:textId="4BF4BB25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t>Bogotá, D.C.</w:t>
      </w:r>
    </w:p>
    <w:p w14:paraId="3A3A3D61" w14:textId="77777777" w:rsid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</w:p>
    <w:p w14:paraId="57C0D929" w14:textId="77777777" w:rsid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  <w:b/>
          <w:bCs/>
          <w:highlight w:val="yellow"/>
        </w:rPr>
        <w:t>Referencia: </w:t>
      </w:r>
      <w:r w:rsidRPr="00A25F98">
        <w:rPr>
          <w:rFonts w:ascii="Helvetica" w:hAnsi="Helvetica" w:cs="Helvetica"/>
          <w:highlight w:val="yellow"/>
        </w:rPr>
        <w:t>Adición al Concepto Unificado No. 0106 del 19 de agosto de 2022 - Obligación de facturar y Sistema de Factura Electrónica.</w:t>
      </w:r>
    </w:p>
    <w:p w14:paraId="633FFDA0" w14:textId="77777777" w:rsid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</w:p>
    <w:p w14:paraId="588F21F4" w14:textId="0E1F565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t>Cordial saludo.</w:t>
      </w:r>
    </w:p>
    <w:p w14:paraId="53375E09" w14:textId="77777777" w:rsid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</w:p>
    <w:p w14:paraId="2413F0CA" w14:textId="3E8D7111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t>De conformidad con el artículo 56 del Decreto 1742 de 2020, en concordancia con el artículo 7 y 7-1 de la Resolución No. 000091 de 2021, se expide el presente pronunciamiento mediante el cual se efectúa una adición al Concepto Unificado No. 0106 del 19 de agosto de 2022 - Obligación de facturar y Sistema de Factura Electrónica, en torno a la exigencia de requisitos adicionales a los contemplados en las normas legales y reglamentarias para la entrega de la factura al adquirente de bienes y/o servicios.</w:t>
      </w:r>
    </w:p>
    <w:p w14:paraId="2C093C0B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t> </w:t>
      </w:r>
    </w:p>
    <w:p w14:paraId="7951307C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t>Atentamente,</w:t>
      </w:r>
    </w:p>
    <w:p w14:paraId="0D996CA5" w14:textId="66C4E9C1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  <w:b/>
          <w:bCs/>
        </w:rPr>
        <w:t>INGRID CASTAÑEDA CEPEDA</w:t>
      </w:r>
    </w:p>
    <w:p w14:paraId="51E9AA9D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t>Subdirectora de Normativa y Doctrina (A)</w:t>
      </w:r>
    </w:p>
    <w:p w14:paraId="0C433D7A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t>Dirección de Gestión Jurídica</w:t>
      </w:r>
    </w:p>
    <w:p w14:paraId="0A9A2F24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t>U.A.E. Dirección de Impuestos y Aduanas Nacionales – DIAN</w:t>
      </w:r>
    </w:p>
    <w:p w14:paraId="580F25EF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lastRenderedPageBreak/>
        <w:t> </w:t>
      </w:r>
    </w:p>
    <w:p w14:paraId="582F21F5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t> </w:t>
      </w:r>
    </w:p>
    <w:p w14:paraId="23368F92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  <w:b/>
          <w:bCs/>
          <w:highlight w:val="yellow"/>
        </w:rPr>
        <w:t>ADICIÓN AL CONCEPTO UNIFICADO No. 0106 DEL 19 DE AGOSTO DE 2022 - OBLIGACIÓN DE FACTURAR Y SISTEMA DE FACTURA ELECTRÓNICA</w:t>
      </w:r>
    </w:p>
    <w:p w14:paraId="7F2E862A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t> </w:t>
      </w:r>
    </w:p>
    <w:p w14:paraId="79F1F57B" w14:textId="2B488E18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t> De conformidad con el artículo 56 del Decreto 1742 de 2020, se avoca conocimiento para realizar la siguiente adición al Concepto Unificado sobre Obligación de facturar y Sistema de Factura Electrónica:</w:t>
      </w:r>
    </w:p>
    <w:p w14:paraId="52635D87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t> </w:t>
      </w:r>
    </w:p>
    <w:p w14:paraId="4907E8F9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t>I. Se requiere adicionar al 3.1.6. “DESCRIPTOR: EXPEDICIÓN Y ENTREGA DE LA FACTURA ELECTRÓNICA DE VENTA.” el numeral 3.1.6.5., así:</w:t>
      </w:r>
    </w:p>
    <w:p w14:paraId="4F8165A2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t> </w:t>
      </w:r>
    </w:p>
    <w:p w14:paraId="3224D523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t>3.1.6.5. ¿La exigencia de requisitos adicionales a los contemplados en las normas legales y reglamentarias para la entrega de la factura al adquirente de bienes y/o servicios, con el fin de dar cumplimiento a obligaciones diferentes al deber de expedir y entregar factura de venta, desconoce la prohibición contemplada en el artículo 1.6.1.4.27. del Decreto 1625 de 2016?</w:t>
      </w:r>
    </w:p>
    <w:p w14:paraId="4A117F06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t> </w:t>
      </w:r>
    </w:p>
    <w:p w14:paraId="1C42E4D2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t>El artículo 1.6.1.4.27. del Decreto 1625 de 2016, dispone:</w:t>
      </w:r>
    </w:p>
    <w:p w14:paraId="4D510562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t> </w:t>
      </w:r>
    </w:p>
    <w:p w14:paraId="38486A2D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  <w:b/>
          <w:bCs/>
          <w:i/>
          <w:iCs/>
        </w:rPr>
        <w:t>“Obligación de entrega de la factura de venta y/o documento equivalente al adquirente de bienes y/o servicios. </w:t>
      </w:r>
      <w:r w:rsidRPr="00A25F98">
        <w:rPr>
          <w:rFonts w:ascii="Helvetica" w:hAnsi="Helvetica" w:cs="Helvetica"/>
          <w:i/>
          <w:iCs/>
        </w:rPr>
        <w:t>Los sujetos obligados a facturar se encuentran en la obligación de expedir y entregar de manera física o electrónica, según corresponda, al adquirente la factura de venta y/o el documento equivalente, por todas y cada una de las operaciones en el momento de efectuarse la venta del bien y/o la prestación del servicio.</w:t>
      </w:r>
    </w:p>
    <w:p w14:paraId="4D1E1790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  <w:i/>
          <w:iCs/>
          <w:highlight w:val="yellow"/>
        </w:rPr>
        <w:lastRenderedPageBreak/>
        <w:t>Para el efecto, </w:t>
      </w:r>
      <w:r w:rsidRPr="00A25F98">
        <w:rPr>
          <w:rFonts w:ascii="Helvetica" w:hAnsi="Helvetica" w:cs="Helvetica"/>
          <w:i/>
          <w:iCs/>
          <w:highlight w:val="yellow"/>
          <w:u w:val="single"/>
        </w:rPr>
        <w:t>los facturadores no podrán exigir a los adquirentes de bienes y/o servicios requisitos adicionales a los que contemplan las normas legales o reglamentarias vigentes para la entrega de la factura de venta y/o del documento equivalente</w:t>
      </w:r>
      <w:r w:rsidRPr="00A25F98">
        <w:rPr>
          <w:rFonts w:ascii="Helvetica" w:hAnsi="Helvetica" w:cs="Helvetica"/>
          <w:i/>
          <w:iCs/>
          <w:highlight w:val="yellow"/>
        </w:rPr>
        <w:t>.</w:t>
      </w:r>
    </w:p>
    <w:p w14:paraId="167AD9A3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  <w:i/>
          <w:iCs/>
          <w:highlight w:val="yellow"/>
        </w:rPr>
        <w:t>El adquirente no se encuentra obligado a suministrar documentos o información diferente a la exigida por las normas vigentes para la entrega de la factura de venta y/o del documento equivalente</w:t>
      </w:r>
      <w:r w:rsidRPr="00A25F98">
        <w:rPr>
          <w:rFonts w:ascii="Helvetica" w:hAnsi="Helvetica" w:cs="Helvetica"/>
          <w:highlight w:val="yellow"/>
        </w:rPr>
        <w:t>.”. (Subrayado fuera de texto)</w:t>
      </w:r>
    </w:p>
    <w:p w14:paraId="01FC1264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t> </w:t>
      </w:r>
    </w:p>
    <w:p w14:paraId="3E5A4771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t>Si bien la norma en mención contempla una prohibición para el facturador relacionada con la solicitud de requisitos adicionales a los contemplados en la normas legales o reglamentarias para efectos de la entrega de la factura de venta, esta prohibición debe entenderse cuando la operación de venta o prestación de servicio conlleva solamente la obligación de expedir factura o documento equivalente.</w:t>
      </w:r>
    </w:p>
    <w:p w14:paraId="28738DF9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t> </w:t>
      </w:r>
    </w:p>
    <w:p w14:paraId="741A64B8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  <w:highlight w:val="yellow"/>
        </w:rPr>
        <w:t>En este sentido, si en virtud de la operación de venta y/o prestación de servicios a su vez surgen obligaciones diferentes a la simple expedición de la factura de venta, y que para su cumplimiento implique de acuerdo con las disposiciones que regulen la materia, que el adquirente deba suministrar información adicional a la contemplada en las normas legales o reglamentarias para efectos de entrega de la factura de venta, la exigencia de esta información surge para efectos de cumplir dichas obligaciones y por esta razón, no resulta aplicable la mencionada prohibición</w:t>
      </w:r>
      <w:r w:rsidRPr="00A25F98">
        <w:rPr>
          <w:rFonts w:ascii="Helvetica" w:hAnsi="Helvetica" w:cs="Helvetica"/>
        </w:rPr>
        <w:t>.</w:t>
      </w:r>
    </w:p>
    <w:p w14:paraId="3396C9D3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t> </w:t>
      </w:r>
    </w:p>
    <w:p w14:paraId="3AC97B8B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  <w:highlight w:val="yellow"/>
        </w:rPr>
        <w:t xml:space="preserve">En ese orden de ideas, la exigencia de requisitos adicionales a los señalados en las normas legales o reglamentarias para la entrega de la factura de venta, solamente es procedente si el facturador la requiere con la finalidad de dar cumplimiento a otras obligaciones diferentes a la expedición de este documento y en consecuencia, resulta necesario para efectos de brindar claridad al adquirente de bienes y/o </w:t>
      </w:r>
      <w:r w:rsidRPr="00A25F98">
        <w:rPr>
          <w:rFonts w:ascii="Helvetica" w:hAnsi="Helvetica" w:cs="Helvetica"/>
          <w:highlight w:val="yellow"/>
        </w:rPr>
        <w:lastRenderedPageBreak/>
        <w:t>servicios, que el facturador le informe las normas que sustentan la exigencia de estos requisitos.</w:t>
      </w:r>
    </w:p>
    <w:p w14:paraId="5E955FCE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t> </w:t>
      </w:r>
    </w:p>
    <w:p w14:paraId="238959A6" w14:textId="5FB2A92C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  <w:highlight w:val="yellow"/>
        </w:rPr>
        <w:t xml:space="preserve">Así las cosas, en aquellos casos en los cuales la operación de venta o prestación de servicios involucre el cumplimiento de obligaciones diferentes a la entrega de la factura de venta, como es el caso de la debida diligencia de los sistemas SARLAFT y SAGRILAFT, la exigencia de los requisitos para dar cumplimiento a las disposiciones que regulan dicha </w:t>
      </w:r>
      <w:r w:rsidRPr="00A25F98">
        <w:rPr>
          <w:rFonts w:ascii="Helvetica" w:hAnsi="Helvetica" w:cs="Helvetica"/>
          <w:highlight w:val="yellow"/>
        </w:rPr>
        <w:t>materia</w:t>
      </w:r>
      <w:r w:rsidRPr="00A25F98">
        <w:rPr>
          <w:rFonts w:ascii="Helvetica" w:hAnsi="Helvetica" w:cs="Helvetica"/>
          <w:highlight w:val="yellow"/>
        </w:rPr>
        <w:t xml:space="preserve"> no desconoce la prohibición que contempla el artículo 1.6.1.4.27 del Decreto 1625 de 2016.</w:t>
      </w:r>
    </w:p>
    <w:p w14:paraId="6740F9C9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t> </w:t>
      </w:r>
    </w:p>
    <w:p w14:paraId="42BB94F9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t>Finalmente, es importante indicar que sin perjuicio de la información que debe suministrar el adquirente de bienes y/o servicios para el cumplimiento de obligaciones diferentes a la expedición de la factura de venta, dicho documento para efectos tributarios debe cumplir con los requisitos señalados en el </w:t>
      </w:r>
      <w:r w:rsidRPr="00A25F98">
        <w:rPr>
          <w:rFonts w:ascii="Helvetica" w:hAnsi="Helvetica" w:cs="Helvetica"/>
          <w:u w:val="single"/>
        </w:rPr>
        <w:t>artículo 617</w:t>
      </w:r>
      <w:r w:rsidRPr="00A25F98">
        <w:rPr>
          <w:rFonts w:ascii="Helvetica" w:hAnsi="Helvetica" w:cs="Helvetica"/>
        </w:rPr>
        <w:t> del Estatuto Tributario y el artículo 11 de la Resolución 000165 de 2023.</w:t>
      </w:r>
    </w:p>
    <w:p w14:paraId="314EDF16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t> </w:t>
      </w:r>
    </w:p>
    <w:p w14:paraId="39D12589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  <w:highlight w:val="yellow"/>
        </w:rPr>
        <w:t>En los anteriores términos se adiciona el Concepto Unificado No. 0106 del 19 de agosto de 2022 - Obligación de facturar y Sistema de Factura Electrónica.</w:t>
      </w:r>
    </w:p>
    <w:p w14:paraId="2799CABE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t> </w:t>
      </w:r>
    </w:p>
    <w:p w14:paraId="5203A9EC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t>Atentamente,</w:t>
      </w:r>
    </w:p>
    <w:p w14:paraId="622DAE63" w14:textId="3A93C29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  <w:b/>
          <w:bCs/>
        </w:rPr>
        <w:t>INGRID CASTAÑEDA CEPEDA</w:t>
      </w:r>
    </w:p>
    <w:p w14:paraId="0D87EE20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t>Subdirectora de Normativa y Doctrina (A)</w:t>
      </w:r>
    </w:p>
    <w:p w14:paraId="32C6F327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t>Dirección de Gestión Jurídica</w:t>
      </w:r>
    </w:p>
    <w:p w14:paraId="156AFB7C" w14:textId="77777777" w:rsidR="00A25F98" w:rsidRPr="00A25F98" w:rsidRDefault="00A25F98" w:rsidP="00A25F98">
      <w:pPr>
        <w:pStyle w:val="text-align-justify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t>U.A.E. Dirección de Impuestos y Aduanas Nacionales – DIAN</w:t>
      </w:r>
    </w:p>
    <w:p w14:paraId="443E6F21" w14:textId="77777777" w:rsidR="00A25F98" w:rsidRPr="00A25F98" w:rsidRDefault="00A25F98" w:rsidP="00A25F9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</w:rPr>
      </w:pPr>
      <w:r w:rsidRPr="00A25F98">
        <w:rPr>
          <w:rFonts w:ascii="Helvetica" w:hAnsi="Helvetica" w:cs="Helvetica"/>
        </w:rPr>
        <w:t> </w:t>
      </w:r>
    </w:p>
    <w:p w14:paraId="50086C4A" w14:textId="77777777" w:rsidR="00A36D9E" w:rsidRPr="00A25F98" w:rsidRDefault="00A36D9E" w:rsidP="00A25F98">
      <w:pPr>
        <w:spacing w:line="360" w:lineRule="auto"/>
        <w:jc w:val="both"/>
      </w:pPr>
    </w:p>
    <w:sectPr w:rsidR="00A36D9E" w:rsidRPr="00A25F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98"/>
    <w:rsid w:val="00505EDA"/>
    <w:rsid w:val="00A25F98"/>
    <w:rsid w:val="00A3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3AA6"/>
  <w15:chartTrackingRefBased/>
  <w15:docId w15:val="{16DE0783-951C-49CE-B823-C3CE36FF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5F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5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5F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5F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5F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5F9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5F9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5F9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5F9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5F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5F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5F9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5F9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5F9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5F9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5F9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5F9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5F98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5F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5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5F9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5F9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5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5F9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5F9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5F9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5F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5F9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5F98"/>
    <w:rPr>
      <w:b/>
      <w:bCs/>
      <w:smallCaps/>
      <w:color w:val="0F4761" w:themeColor="accent1" w:themeShade="BF"/>
      <w:spacing w:val="5"/>
    </w:rPr>
  </w:style>
  <w:style w:type="paragraph" w:customStyle="1" w:styleId="text-align-center">
    <w:name w:val="text-align-center"/>
    <w:basedOn w:val="Normal"/>
    <w:rsid w:val="00A2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paragraph" w:customStyle="1" w:styleId="text-align-justify">
    <w:name w:val="text-align-justify"/>
    <w:basedOn w:val="Normal"/>
    <w:rsid w:val="00A2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2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825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López</dc:creator>
  <cp:keywords/>
  <dc:description/>
  <cp:lastModifiedBy>Diana Alexandra Orozco López</cp:lastModifiedBy>
  <cp:revision>1</cp:revision>
  <dcterms:created xsi:type="dcterms:W3CDTF">2024-08-23T21:13:00Z</dcterms:created>
  <dcterms:modified xsi:type="dcterms:W3CDTF">2024-08-23T21:18:00Z</dcterms:modified>
</cp:coreProperties>
</file>