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9268" w14:textId="77777777" w:rsidR="00CC5C13" w:rsidRPr="00BB3804" w:rsidRDefault="00CC5C13" w:rsidP="00BB3804">
      <w:pPr>
        <w:spacing w:after="0" w:line="360" w:lineRule="auto"/>
        <w:jc w:val="both"/>
        <w:rPr>
          <w:rFonts w:ascii="Century Gothic" w:eastAsia="Times New Roman" w:hAnsi="Century Gothic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</w:pPr>
    </w:p>
    <w:p w14:paraId="1D1F564A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center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b/>
          <w:bCs/>
          <w:color w:val="000000"/>
          <w:sz w:val="21"/>
          <w:szCs w:val="21"/>
        </w:rPr>
        <w:t>Concepto 599 [005206]</w:t>
      </w:r>
    </w:p>
    <w:p w14:paraId="563E061C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center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b/>
          <w:bCs/>
          <w:color w:val="000000"/>
          <w:sz w:val="21"/>
          <w:szCs w:val="21"/>
        </w:rPr>
        <w:t>29-07-2024</w:t>
      </w:r>
    </w:p>
    <w:p w14:paraId="247D46FA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center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b/>
          <w:bCs/>
          <w:color w:val="000000"/>
          <w:sz w:val="21"/>
          <w:szCs w:val="21"/>
        </w:rPr>
        <w:t>DIAN</w:t>
      </w:r>
    </w:p>
    <w:p w14:paraId="7518A063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4CCDDF50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10FCE8E4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100208192-599</w:t>
      </w:r>
    </w:p>
    <w:p w14:paraId="517F2AB9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1696E861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Bogotá, D.C.</w:t>
      </w:r>
    </w:p>
    <w:p w14:paraId="365D9DAB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40766716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Esta Subdirección está facultada para absolver las consultas escritas, presentadas de forma general, sobre la interpretación y aplicación de las normas tributarias, aduaneras y de fiscalización cambiaria, en lo de competencia de la DIAN</w:t>
      </w:r>
      <w:hyperlink r:id="rId5" w:anchor="cite_note-1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  <w:vertAlign w:val="superscript"/>
          </w:rPr>
          <w:t>1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. En este sentido, la doctrina emitida será de carácter general, no se referirá a asuntos particulares y se someterá a lo consagrado en el artículo 131 de la Ley 2010 de 2019</w:t>
      </w:r>
      <w:hyperlink r:id="rId6" w:anchor="cite_note-2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  <w:vertAlign w:val="superscript"/>
          </w:rPr>
          <w:t>2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.</w:t>
      </w:r>
    </w:p>
    <w:p w14:paraId="195D9927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6C91EB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Mediante el radicado de la referencia, la peticionaria formula diferentes interrogantes en relación con el concepto de recreación familiar establecido en el numeral 18 del </w:t>
      </w:r>
      <w:hyperlink r:id="rId7" w:tooltip="Estatuto Tributario CETA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</w:rPr>
          <w:t>artículo 476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 del Estatuto Tributario e interpretado en el Concepto No. 000047 del 05 de enero de 2024, los cuales se resolverán cada uno a su turno.</w:t>
      </w:r>
    </w:p>
    <w:p w14:paraId="5CAB6EF9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7CD3E45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En principio, se reitera que no corresponde a esta Dependencia en ejercicio de sus funciones, prestar asesoría específica para atender casos particulares y menos confirmar, validar, ratificar o aprobar las interpretaciones que realicen los contribuyentes sobre las disposiciones normativas dentro de sus actuaciones económicas.</w:t>
      </w:r>
    </w:p>
    <w:p w14:paraId="57DAA18D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797478C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Ahora bien, acerca de la interpretación del numeral 18 del </w:t>
      </w:r>
      <w:hyperlink r:id="rId8" w:tooltip="Estatuto Tributario CETA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</w:rPr>
          <w:t>artículo 476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 del Estatuto Tributario respecto de la noción de “recreación familiar”, el Concepto No. 000047 de 2024 concluyó lo siguiente:</w:t>
      </w:r>
    </w:p>
    <w:p w14:paraId="044B8E3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619AC457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El </w:t>
      </w:r>
      <w:hyperlink r:id="rId9" w:tooltip="Estatuto Tributario CETA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</w:rPr>
          <w:t>artículo 476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 del Estatuto Tributario cataloga como excluidas del IVA en su numeral 18, entre otras, las boletas de entrada a eventos de recreación familiar.</w:t>
      </w:r>
    </w:p>
    <w:p w14:paraId="096B35F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71012D73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Sobre el concepto de “recreación”, se considera relevante remitirse a la Ley 181 de 1995</w:t>
      </w:r>
      <w:hyperlink r:id="rId10" w:anchor="cite_note-3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  <w:vertAlign w:val="superscript"/>
          </w:rPr>
          <w:t>3</w:t>
        </w:r>
      </w:hyperlink>
      <w:r w:rsidRPr="00BB3804">
        <w:rPr>
          <w:rFonts w:ascii="Century Gothic" w:hAnsi="Century Gothic" w:cs="Segoe UI"/>
          <w:b/>
          <w:bCs/>
          <w:color w:val="000000"/>
          <w:sz w:val="21"/>
          <w:szCs w:val="21"/>
        </w:rPr>
        <w:t> </w:t>
      </w:r>
      <w:r w:rsidRPr="00BB3804">
        <w:rPr>
          <w:rFonts w:ascii="Century Gothic" w:hAnsi="Century Gothic" w:cs="Segoe UI"/>
          <w:color w:val="000000"/>
          <w:sz w:val="21"/>
          <w:szCs w:val="21"/>
        </w:rPr>
        <w:t>en cuyo artículo 5 se define de la siguiente manera:</w:t>
      </w:r>
    </w:p>
    <w:p w14:paraId="553978E1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18DF435B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La recreación. Es un proceso de acción participativa y dinámica, que facilita entender la vida como una vivencia de disfrute, creación y libertad, en el pleno desarrollo de las potencialidades del ser humano para su realización y mejoramiento de la calidad de vida individual y social, </w:t>
      </w:r>
      <w:r w:rsidRPr="00BB3804">
        <w:rPr>
          <w:rFonts w:ascii="Century Gothic" w:hAnsi="Century Gothic" w:cs="Segoe UI"/>
          <w:color w:val="000000"/>
          <w:sz w:val="21"/>
          <w:szCs w:val="21"/>
          <w:u w:val="single"/>
        </w:rPr>
        <w:t>mediante la práctica de actividades físicas o intelectuales de esparcimiento</w:t>
      </w:r>
      <w:r w:rsidRPr="00BB3804">
        <w:rPr>
          <w:rFonts w:ascii="Century Gothic" w:hAnsi="Century Gothic" w:cs="Segoe UI"/>
          <w:color w:val="000000"/>
          <w:sz w:val="21"/>
          <w:szCs w:val="21"/>
        </w:rPr>
        <w:t>. (Subrayado fuera de texto)</w:t>
      </w:r>
    </w:p>
    <w:p w14:paraId="4827B7F3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6C8C077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  <w:u w:val="single"/>
        </w:rPr>
        <w:lastRenderedPageBreak/>
        <w:t>Así las cosas, el concepto de “recreación familiar” comprendería actividades físicas o intelectuales de esparcimiento, dirigidas a la familia4, cuya boletería estaría excluida del IVA</w:t>
      </w:r>
      <w:hyperlink r:id="rId11" w:anchor="cite_note-3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  <w:vertAlign w:val="superscript"/>
          </w:rPr>
          <w:t>3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. (énfasis propio).</w:t>
      </w:r>
    </w:p>
    <w:p w14:paraId="4E8C713E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7CE13375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Teniendo en cuenta el anterior pronunciamiento, la peticionaria consulta lo siguiente:</w:t>
      </w:r>
    </w:p>
    <w:p w14:paraId="66800AD5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592C8CFB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t>1. ¿Las actividades de recreación familiar dirigidas a niños y jóvenes de determinado rango de edad, pero no a “toda la familia” están comprendidas en la mencionada definición?</w:t>
      </w:r>
    </w:p>
    <w:p w14:paraId="1D295FD6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574E68BC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Este Despacho en la doctrina antes citada, respecto de la exclusión en comento señaló expresamente que: “el concepto de “recreación familiar” comprendería actividades físicas o intelectuales de esparcimiento, </w:t>
      </w:r>
      <w:r w:rsidRPr="00BB3804">
        <w:rPr>
          <w:rFonts w:ascii="Century Gothic" w:hAnsi="Century Gothic" w:cs="Segoe UI"/>
          <w:color w:val="000000"/>
          <w:sz w:val="21"/>
          <w:szCs w:val="21"/>
          <w:u w:val="single"/>
        </w:rPr>
        <w:t>dirigidas a la familia4</w:t>
      </w:r>
      <w:r w:rsidRPr="00BB3804">
        <w:rPr>
          <w:rFonts w:ascii="Century Gothic" w:hAnsi="Century Gothic" w:cs="Segoe UI"/>
          <w:color w:val="000000"/>
          <w:sz w:val="21"/>
          <w:szCs w:val="21"/>
        </w:rPr>
        <w:t>, cuya boletería estaría excluida del IVA5” (énfasis añadido). Téngase en cuenta el concepto de “familia” consignado en la doctrina analizada en el presente caso.</w:t>
      </w:r>
    </w:p>
    <w:p w14:paraId="7614E5E3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1AC41D65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Por lo tanto, las boletas que permiten el ingreso a las actividades físicas o intelectuales de esparcimiento dirigidas únicamente a los jóvenes y/o niños se encuentran sujetas al impuesto sobre las ventas -IVA.</w:t>
      </w:r>
    </w:p>
    <w:p w14:paraId="70A85CC4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05FBCA6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“Sobre el concepto de “recreación”, se considera relevante remitirse a la Ley 181 de 1995</w:t>
      </w:r>
      <w:r w:rsidRPr="00BB3804">
        <w:rPr>
          <w:rFonts w:ascii="Century Gothic" w:hAnsi="Century Gothic" w:cs="Segoe UI"/>
          <w:b/>
          <w:bCs/>
          <w:color w:val="000000"/>
          <w:sz w:val="21"/>
          <w:szCs w:val="21"/>
        </w:rPr>
        <w:t>3 </w:t>
      </w:r>
      <w:r w:rsidRPr="00BB3804">
        <w:rPr>
          <w:rFonts w:ascii="Century Gothic" w:hAnsi="Century Gothic" w:cs="Segoe UI"/>
          <w:color w:val="000000"/>
          <w:sz w:val="21"/>
          <w:szCs w:val="21"/>
        </w:rPr>
        <w:t>en cuyo artículo 5 se define de la siguiente manera:</w:t>
      </w:r>
    </w:p>
    <w:p w14:paraId="2791C849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1EBD68B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La recreación. Es un proceso de acción participativa y dinámica, que facilita entender la vida como una vivencia de disfrute, creación y libertad, en el pleno desarrollo de las potencialidades del ser humano para su realización y mejoramiento de la calidad de vida individual y social, </w:t>
      </w:r>
      <w:r w:rsidRPr="00BB3804">
        <w:rPr>
          <w:rFonts w:ascii="Century Gothic" w:hAnsi="Century Gothic" w:cs="Segoe UI"/>
          <w:color w:val="000000"/>
          <w:sz w:val="21"/>
          <w:szCs w:val="21"/>
          <w:u w:val="single"/>
        </w:rPr>
        <w:t>mediante la práctica de actividades físicas o intelectuales de esparcimiento</w:t>
      </w:r>
      <w:r w:rsidRPr="00BB3804">
        <w:rPr>
          <w:rFonts w:ascii="Century Gothic" w:hAnsi="Century Gothic" w:cs="Segoe UI"/>
          <w:color w:val="000000"/>
          <w:sz w:val="21"/>
          <w:szCs w:val="21"/>
        </w:rPr>
        <w:t>.”</w:t>
      </w:r>
    </w:p>
    <w:p w14:paraId="636635C6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6329E736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Corresponde entonces al interesado conforme la interpretación dada a la norma, establecer</w:t>
      </w:r>
    </w:p>
    <w:p w14:paraId="5997ED3D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4752935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t>2. ¿Las boletas de entrada a actividades físicas o intelectuales de esparcimiento, dirigidas a niños y jóvenes durante sus vacaciones, y que incluyan espacios de música, danza, teatro y artes estarían excluidas de IVA?</w:t>
      </w:r>
    </w:p>
    <w:p w14:paraId="0DBAAD40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4D951F4E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t>Favor tener en cuenta la respuesta suministrada en el punto # 1.</w:t>
      </w:r>
    </w:p>
    <w:p w14:paraId="6CDECFD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AD9845D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t>3. ¿Las boletas de entrada a talleres experienciales de inteligencia emocional, autoconciencia, autocuidado entre otras, dirigidas a jóvenes pueden encontrarse comprendidas en la definición de recreación familiar?</w:t>
      </w:r>
    </w:p>
    <w:p w14:paraId="45B7C26B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5AA6C85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lastRenderedPageBreak/>
        <w:t>Favor tener en cuenta la respuesta suministrada en el punto # 1.</w:t>
      </w:r>
    </w:p>
    <w:p w14:paraId="66120880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5CDCFCB3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t>4. Cuando las actividades en las que participan los miembros de la familia (que no se consideren educación formal ni informal), vayan encaminadas a fortalecer las habilidades y capacidades tanto cognitivas como motrices, ¿se puede interpretar que son actividades de recreación familiar?</w:t>
      </w:r>
    </w:p>
    <w:p w14:paraId="24D755F1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7408BC24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Favor tener en cuenta la respuesta suministrada en el punto # 1.</w:t>
      </w:r>
    </w:p>
    <w:p w14:paraId="0E2696C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797256AE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Adicionalmente, el Concepto objeto del presente estudio, sobre el término “recreación” trajo a colación la siguiente definición:</w:t>
      </w:r>
    </w:p>
    <w:p w14:paraId="327458FB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486741E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“Sobre el concepto de “recreación”, se considera relevante remitirse a la Ley 181 de 19953 en cuyo artículo 5 se define de la siguiente manera:</w:t>
      </w:r>
    </w:p>
    <w:p w14:paraId="2521820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11874727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La recreación. Es un proceso de acción participativa y dinámica, que facilita entender la vida como una vivencia de disfrute, creación y libertad, en el pleno desarrollo de las potencialidades del ser humano para su realización y mejoramiento de la calidad de vida individual y social, mediante la práctica de actividades físicas o intelectuales de esparcimiento.”</w:t>
      </w:r>
    </w:p>
    <w:p w14:paraId="0DC1648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4F3991B0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Corresponde entonces al interesado conforme la interpretación dada a la norma, establecer en su caso particular si las actividades desarrollas en el giro ordinario de su negocio encuadran dentro del concepto de recreación familiar y de esta manera determinar si la boletería de ingreso a estos eventos se encuentra excluida del Impuesto.</w:t>
      </w:r>
    </w:p>
    <w:p w14:paraId="6E96EB3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2EC9CA56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t>5. Para el caso de actividades encaminadas a brindar recreación a los hijos mediante actividades que permitan descubrir sus potenciales, desafiar sus conocimientos y fortalecer sus habilidades sociales, en épocas de vacaciones en donde los padres no tienen la posibilidad de velar por su bienestar y cuidado, ¿se podría interpretar como recreación familiar?</w:t>
      </w:r>
    </w:p>
    <w:p w14:paraId="0E6411B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3009915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Favor tener en cuenta la respuesta suministrada en los puntos # 1 y 4</w:t>
      </w:r>
    </w:p>
    <w:p w14:paraId="7A18D4D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25A97AEB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ind w:left="284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i/>
          <w:iCs/>
          <w:color w:val="000000"/>
          <w:sz w:val="21"/>
          <w:szCs w:val="21"/>
        </w:rPr>
        <w:t>6. ¿Para que se pueda definir como recreación familiar, es necesaria la participación activa de todos los miembros de la familia en las actividades o pueden atender los miembros de la familia en momentos, tiempos y espacios diferentes?</w:t>
      </w:r>
    </w:p>
    <w:p w14:paraId="71DD624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551161D7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Se reitera que el beneficio tributario en materia del impuesto sobre las ventas -IVA relacionado con la venta de boletería para eventos de “recreación familiar” “comprendería actividades físicas o intelectuales de esparcimiento, dirigidas a la familia (…)</w:t>
      </w:r>
      <w:r w:rsidRPr="00BB3804">
        <w:rPr>
          <w:rFonts w:ascii="Century Gothic" w:hAnsi="Century Gothic" w:cs="Segoe UI"/>
          <w:b/>
          <w:bCs/>
          <w:color w:val="000000"/>
          <w:sz w:val="21"/>
          <w:szCs w:val="21"/>
        </w:rPr>
        <w:t>”</w:t>
      </w:r>
      <w:r w:rsidRPr="00BB3804">
        <w:rPr>
          <w:rFonts w:ascii="Century Gothic" w:hAnsi="Century Gothic" w:cs="Segoe UI"/>
          <w:color w:val="000000"/>
          <w:sz w:val="21"/>
          <w:szCs w:val="21"/>
        </w:rPr>
        <w:t xml:space="preserve">, sin que para </w:t>
      </w:r>
      <w:r w:rsidRPr="00BB3804">
        <w:rPr>
          <w:rFonts w:ascii="Century Gothic" w:hAnsi="Century Gothic" w:cs="Segoe UI"/>
          <w:color w:val="000000"/>
          <w:sz w:val="21"/>
          <w:szCs w:val="21"/>
        </w:rPr>
        <w:lastRenderedPageBreak/>
        <w:t>el efecto sea necesario que todos los miembros de esta deban acudir de manera conjunta a los citados eventos.</w:t>
      </w:r>
    </w:p>
    <w:p w14:paraId="16E359BD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2AF658F7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No obstante, nótese que el texto de la disposición contenida en el numeral 18 del </w:t>
      </w:r>
      <w:hyperlink r:id="rId12" w:tooltip="Estatuto Tributario CETA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</w:rPr>
          <w:t>artículo 476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 del Estatuto Tributario, en armonía con lo dispuesto en el artículo 44 de la Constitución Nacional, permite inferir que la intención del legislador fue facilitar el acceso a la recreación familiar, como un derecho de las personas que viven en sociedad, mediante la exclusión del impuesto sobre las ventas -IVA.</w:t>
      </w:r>
    </w:p>
    <w:p w14:paraId="47BFC323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22ADF387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Finalmente, se advierte que en virtud del principio de legalidad consagrado en el artículo 338 de la Constitución Política, en materia de impuestos, las exenciones y exclusiones son de interpretación restrictiva y se concretan a las expresamente señaladas por la Ley.</w:t>
      </w:r>
    </w:p>
    <w:p w14:paraId="06644568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4FC76592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En los anteriores términos se absuelve su petición y se recuerda que la normativa, jurisprudencia y doctrina en materia tributaria, aduanera y de fiscalización cambiaria, en lo de competencia de esta Entidad, puede consultarse en el normograma DIAN: </w:t>
      </w:r>
      <w:hyperlink r:id="rId13" w:tgtFrame="_blank" w:history="1">
        <w:r w:rsidRPr="00BB3804">
          <w:rPr>
            <w:rStyle w:val="Hipervnculo"/>
            <w:rFonts w:ascii="Century Gothic" w:eastAsiaTheme="majorEastAsia" w:hAnsi="Century Gothic" w:cs="Segoe UI"/>
            <w:color w:val="0645AD"/>
            <w:sz w:val="21"/>
            <w:szCs w:val="21"/>
          </w:rPr>
          <w:t>https://normograma.dian.gov.co/dian/</w:t>
        </w:r>
      </w:hyperlink>
      <w:r w:rsidRPr="00BB3804">
        <w:rPr>
          <w:rFonts w:ascii="Century Gothic" w:hAnsi="Century Gothic" w:cs="Segoe UI"/>
          <w:color w:val="000000"/>
          <w:sz w:val="21"/>
          <w:szCs w:val="21"/>
        </w:rPr>
        <w:t>.</w:t>
      </w:r>
    </w:p>
    <w:p w14:paraId="2F90741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 </w:t>
      </w:r>
    </w:p>
    <w:p w14:paraId="53C39A2F" w14:textId="77777777" w:rsidR="00CC5C13" w:rsidRPr="00BB3804" w:rsidRDefault="00CC5C13" w:rsidP="00BB3804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 w:cs="Segoe UI"/>
          <w:color w:val="000000"/>
          <w:sz w:val="21"/>
          <w:szCs w:val="21"/>
        </w:rPr>
      </w:pPr>
      <w:r w:rsidRPr="00BB3804">
        <w:rPr>
          <w:rFonts w:ascii="Century Gothic" w:hAnsi="Century Gothic" w:cs="Segoe UI"/>
          <w:color w:val="000000"/>
          <w:sz w:val="21"/>
          <w:szCs w:val="21"/>
        </w:rPr>
        <w:t>Atentamente,</w:t>
      </w:r>
    </w:p>
    <w:p w14:paraId="666B2D8F" w14:textId="3E3D93C5" w:rsidR="00CC5C13" w:rsidRPr="00BB3804" w:rsidRDefault="00CC5C13" w:rsidP="00BB3804">
      <w:pPr>
        <w:spacing w:after="0" w:line="360" w:lineRule="auto"/>
        <w:jc w:val="both"/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B3804">
        <w:rPr>
          <w:rFonts w:ascii="Century Gothic" w:eastAsia="Times New Roman" w:hAnsi="Century Gothic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INGRID CASTAÑEDA CEPEDA</w:t>
      </w:r>
    </w:p>
    <w:p w14:paraId="38BFA1EA" w14:textId="77777777" w:rsidR="00CC5C13" w:rsidRPr="00BB3804" w:rsidRDefault="00CC5C13" w:rsidP="00BB3804">
      <w:pPr>
        <w:spacing w:after="0" w:line="360" w:lineRule="auto"/>
        <w:jc w:val="both"/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B3804"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  <w:t>Subdirectora de Normativa y Doctrina (A)</w:t>
      </w:r>
    </w:p>
    <w:p w14:paraId="2AB3551E" w14:textId="77777777" w:rsidR="00CC5C13" w:rsidRPr="00BB3804" w:rsidRDefault="00CC5C13" w:rsidP="00BB3804">
      <w:pPr>
        <w:spacing w:after="0" w:line="360" w:lineRule="auto"/>
        <w:jc w:val="both"/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B3804"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  <w:t>Dirección de Gestión Jurídica</w:t>
      </w:r>
    </w:p>
    <w:p w14:paraId="3CD521D6" w14:textId="77777777" w:rsidR="00CC5C13" w:rsidRPr="00BB3804" w:rsidRDefault="00CC5C13" w:rsidP="00BB3804">
      <w:pPr>
        <w:spacing w:after="0" w:line="360" w:lineRule="auto"/>
        <w:jc w:val="both"/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</w:pPr>
      <w:r w:rsidRPr="00BB3804"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  <w:t> </w:t>
      </w:r>
    </w:p>
    <w:p w14:paraId="577FE296" w14:textId="77777777" w:rsidR="00CC5C13" w:rsidRPr="00BB3804" w:rsidRDefault="00CC5C13" w:rsidP="00BB3804">
      <w:pPr>
        <w:spacing w:after="285" w:line="360" w:lineRule="auto"/>
        <w:jc w:val="both"/>
        <w:outlineLvl w:val="2"/>
        <w:rPr>
          <w:rFonts w:ascii="Century Gothic" w:eastAsia="Times New Roman" w:hAnsi="Century Gothic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</w:pPr>
      <w:r w:rsidRPr="00BB3804">
        <w:rPr>
          <w:rFonts w:ascii="Century Gothic" w:eastAsia="Times New Roman" w:hAnsi="Century Gothic" w:cs="Segoe UI"/>
          <w:b/>
          <w:bCs/>
          <w:color w:val="000000"/>
          <w:kern w:val="0"/>
          <w:sz w:val="21"/>
          <w:szCs w:val="21"/>
          <w:lang w:eastAsia="es-CO"/>
          <w14:ligatures w14:val="none"/>
        </w:rPr>
        <w:t>Notas al pie</w:t>
      </w:r>
    </w:p>
    <w:p w14:paraId="60247825" w14:textId="77777777" w:rsidR="00CC5C13" w:rsidRPr="00BB3804" w:rsidRDefault="00000000" w:rsidP="00BB3804">
      <w:pPr>
        <w:spacing w:after="0" w:line="360" w:lineRule="auto"/>
        <w:rPr>
          <w:rFonts w:ascii="Century Gothic" w:eastAsia="Times New Roman" w:hAnsi="Century Gothic" w:cs="Segoe UI"/>
          <w:kern w:val="0"/>
          <w:sz w:val="21"/>
          <w:szCs w:val="21"/>
          <w:lang w:eastAsia="es-CO"/>
          <w14:ligatures w14:val="none"/>
        </w:rPr>
      </w:pPr>
      <w:r w:rsidRPr="00BB3804">
        <w:rPr>
          <w:rFonts w:ascii="Century Gothic" w:eastAsia="Times New Roman" w:hAnsi="Century Gothic" w:cs="Times New Roman"/>
          <w:kern w:val="0"/>
          <w:szCs w:val="24"/>
          <w:lang w:eastAsia="es-CO"/>
          <w14:ligatures w14:val="none"/>
        </w:rPr>
        <w:pict w14:anchorId="5494AAD9">
          <v:rect id="_x0000_i1025" style="width:0;height:1.5pt" o:hrstd="t" o:hrnoshade="t" o:hr="t" fillcolor="black" stroked="f"/>
        </w:pict>
      </w:r>
    </w:p>
    <w:p w14:paraId="7222139B" w14:textId="77777777" w:rsidR="00CC5C13" w:rsidRPr="00BB3804" w:rsidRDefault="00CC5C13" w:rsidP="00BB3804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14" w:anchor="cite_ref-1" w:tooltip="Volver arriba" w:history="1">
        <w:r w:rsidRPr="00BB3804">
          <w:rPr>
            <w:rFonts w:ascii="Century Gothic" w:eastAsia="Times New Roman" w:hAnsi="Century Gothic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↑</w:t>
        </w:r>
      </w:hyperlink>
      <w:r w:rsidRPr="00BB3804"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4 del artículo 56 del Decreto 1742 de 2020 y el artículo 7 de la Resolución DIAN 91 de 2021.</w:t>
      </w:r>
    </w:p>
    <w:p w14:paraId="20571E4B" w14:textId="77777777" w:rsidR="00CC5C13" w:rsidRPr="00BB3804" w:rsidRDefault="00CC5C13" w:rsidP="00BB3804">
      <w:pPr>
        <w:numPr>
          <w:ilvl w:val="1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</w:pPr>
      <w:hyperlink r:id="rId15" w:anchor="cite_ref-2" w:tooltip="Volver arriba" w:history="1">
        <w:r w:rsidRPr="00BB3804">
          <w:rPr>
            <w:rFonts w:ascii="Century Gothic" w:eastAsia="Times New Roman" w:hAnsi="Century Gothic" w:cs="Segoe UI"/>
            <w:color w:val="0645AD"/>
            <w:kern w:val="0"/>
            <w:sz w:val="21"/>
            <w:szCs w:val="21"/>
            <w:u w:val="single"/>
            <w:lang w:eastAsia="es-CO"/>
            <w14:ligatures w14:val="none"/>
          </w:rPr>
          <w:t>↑</w:t>
        </w:r>
      </w:hyperlink>
      <w:r w:rsidRPr="00BB3804">
        <w:rPr>
          <w:rFonts w:ascii="Century Gothic" w:eastAsia="Times New Roman" w:hAnsi="Century Gothic" w:cs="Segoe UI"/>
          <w:color w:val="000000"/>
          <w:kern w:val="0"/>
          <w:sz w:val="21"/>
          <w:szCs w:val="21"/>
          <w:lang w:eastAsia="es-CO"/>
          <w14:ligatures w14:val="none"/>
        </w:rPr>
        <w:t> De conformidad con el numeral 1 del artículo 56 del Decreto 1742 de 2020 y el artículo 7-1 de la Resolución DIAN 91 de 2021.</w:t>
      </w:r>
    </w:p>
    <w:p w14:paraId="22D238D1" w14:textId="77777777" w:rsidR="007F5CC8" w:rsidRPr="00BB3804" w:rsidRDefault="007F5CC8" w:rsidP="00BB3804">
      <w:pPr>
        <w:spacing w:line="360" w:lineRule="auto"/>
        <w:rPr>
          <w:rFonts w:ascii="Century Gothic" w:hAnsi="Century Gothic"/>
        </w:rPr>
      </w:pPr>
    </w:p>
    <w:sectPr w:rsidR="007F5CC8" w:rsidRPr="00BB3804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96767"/>
    <w:multiLevelType w:val="multilevel"/>
    <w:tmpl w:val="454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823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13"/>
    <w:rsid w:val="000F3837"/>
    <w:rsid w:val="0013145B"/>
    <w:rsid w:val="001E311E"/>
    <w:rsid w:val="00434AE6"/>
    <w:rsid w:val="005D25EE"/>
    <w:rsid w:val="007F5CC8"/>
    <w:rsid w:val="008779BE"/>
    <w:rsid w:val="008C2E57"/>
    <w:rsid w:val="00A33DCC"/>
    <w:rsid w:val="00BB3804"/>
    <w:rsid w:val="00CC5C13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7E26"/>
  <w15:chartTrackingRefBased/>
  <w15:docId w15:val="{8EDD9521-816F-47AE-BA1E-0941CFE8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5C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C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C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5C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C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C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C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5C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C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C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5C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C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C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C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5C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5C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5C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5C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5C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5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5C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5C1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5C1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C5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595" TargetMode="External"/><Relationship Id="rId13" Type="http://schemas.openxmlformats.org/officeDocument/2006/relationships/hyperlink" Target="https://normograma.dian.gov.co/di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articulo.asp?Norma=595" TargetMode="External"/><Relationship Id="rId12" Type="http://schemas.openxmlformats.org/officeDocument/2006/relationships/hyperlink" Target="https://www.ceta.org.co/html/vista_de_un_articulo.asp?Norma=5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documento.asp?DocumentoID=52286" TargetMode="External"/><Relationship Id="rId11" Type="http://schemas.openxmlformats.org/officeDocument/2006/relationships/hyperlink" Target="https://www.ceta.org.co/html/vista_de_un_documento.asp?DocumentoID=52286" TargetMode="External"/><Relationship Id="rId5" Type="http://schemas.openxmlformats.org/officeDocument/2006/relationships/hyperlink" Target="https://www.ceta.org.co/html/vista_de_un_documento.asp?DocumentoID=52286" TargetMode="External"/><Relationship Id="rId15" Type="http://schemas.openxmlformats.org/officeDocument/2006/relationships/hyperlink" Target="https://www.ceta.org.co/html/vista_de_un_documento.asp?DocumentoID=52286" TargetMode="External"/><Relationship Id="rId10" Type="http://schemas.openxmlformats.org/officeDocument/2006/relationships/hyperlink" Target="https://www.ceta.org.co/html/vista_de_un_documento.asp?DocumentoID=52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595" TargetMode="External"/><Relationship Id="rId14" Type="http://schemas.openxmlformats.org/officeDocument/2006/relationships/hyperlink" Target="https://www.ceta.org.co/html/vista_de_un_documento.asp?DocumentoID=5228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Diana Alexandra Orozco López</cp:lastModifiedBy>
  <cp:revision>2</cp:revision>
  <dcterms:created xsi:type="dcterms:W3CDTF">2024-10-20T13:17:00Z</dcterms:created>
  <dcterms:modified xsi:type="dcterms:W3CDTF">2024-10-26T00:09:00Z</dcterms:modified>
</cp:coreProperties>
</file>