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E7B9E" w14:textId="77777777" w:rsidR="00591187" w:rsidRPr="00591187" w:rsidRDefault="00591187" w:rsidP="00591187">
      <w:pPr>
        <w:pStyle w:val="text-align-center"/>
        <w:shd w:val="clear" w:color="auto" w:fill="FFFFFF"/>
        <w:spacing w:before="0" w:beforeAutospacing="0" w:after="150" w:afterAutospacing="0" w:line="360" w:lineRule="auto"/>
        <w:jc w:val="center"/>
        <w:rPr>
          <w:rFonts w:ascii="Helvetica" w:hAnsi="Helvetica" w:cs="Helvetica"/>
        </w:rPr>
      </w:pPr>
      <w:r w:rsidRPr="00591187">
        <w:rPr>
          <w:rFonts w:ascii="Helvetica" w:hAnsi="Helvetica" w:cs="Helvetica"/>
          <w:b/>
          <w:bCs/>
        </w:rPr>
        <w:t xml:space="preserve">Concepto </w:t>
      </w:r>
      <w:proofErr w:type="spellStart"/>
      <w:r w:rsidRPr="00591187">
        <w:rPr>
          <w:rFonts w:ascii="Helvetica" w:hAnsi="Helvetica" w:cs="Helvetica"/>
          <w:b/>
          <w:bCs/>
        </w:rPr>
        <w:t>Nº</w:t>
      </w:r>
      <w:proofErr w:type="spellEnd"/>
      <w:r w:rsidRPr="00591187">
        <w:rPr>
          <w:rFonts w:ascii="Helvetica" w:hAnsi="Helvetica" w:cs="Helvetica"/>
          <w:b/>
          <w:bCs/>
        </w:rPr>
        <w:t xml:space="preserve"> 541 [004647]</w:t>
      </w:r>
    </w:p>
    <w:p w14:paraId="2A791772" w14:textId="77777777" w:rsidR="00591187" w:rsidRPr="00591187" w:rsidRDefault="00591187" w:rsidP="00591187">
      <w:pPr>
        <w:pStyle w:val="text-align-center"/>
        <w:shd w:val="clear" w:color="auto" w:fill="FFFFFF"/>
        <w:spacing w:before="0" w:beforeAutospacing="0" w:after="150" w:afterAutospacing="0" w:line="360" w:lineRule="auto"/>
        <w:jc w:val="center"/>
        <w:rPr>
          <w:rFonts w:ascii="Helvetica" w:hAnsi="Helvetica" w:cs="Helvetica"/>
        </w:rPr>
      </w:pPr>
      <w:r w:rsidRPr="00591187">
        <w:rPr>
          <w:rFonts w:ascii="Helvetica" w:hAnsi="Helvetica" w:cs="Helvetica"/>
          <w:b/>
          <w:bCs/>
        </w:rPr>
        <w:t>11-07-2024</w:t>
      </w:r>
    </w:p>
    <w:p w14:paraId="028528FD" w14:textId="77777777" w:rsidR="00591187" w:rsidRPr="00591187" w:rsidRDefault="00591187" w:rsidP="00591187">
      <w:pPr>
        <w:pStyle w:val="text-align-center"/>
        <w:shd w:val="clear" w:color="auto" w:fill="FFFFFF"/>
        <w:spacing w:before="0" w:beforeAutospacing="0" w:after="150" w:afterAutospacing="0" w:line="360" w:lineRule="auto"/>
        <w:jc w:val="center"/>
        <w:rPr>
          <w:rFonts w:ascii="Helvetica" w:hAnsi="Helvetica" w:cs="Helvetica"/>
        </w:rPr>
      </w:pPr>
      <w:r w:rsidRPr="00591187">
        <w:rPr>
          <w:rFonts w:ascii="Helvetica" w:hAnsi="Helvetica" w:cs="Helvetica"/>
          <w:b/>
          <w:bCs/>
        </w:rPr>
        <w:t>DIAN</w:t>
      </w:r>
    </w:p>
    <w:p w14:paraId="49822AB5" w14:textId="0EC09BE4" w:rsidR="00591187" w:rsidRPr="00591187" w:rsidRDefault="00591187" w:rsidP="00591187">
      <w:pPr>
        <w:pStyle w:val="NormalWeb"/>
        <w:shd w:val="clear" w:color="auto" w:fill="FFFFFF"/>
        <w:spacing w:before="0" w:beforeAutospacing="0" w:after="150" w:afterAutospacing="0" w:line="360" w:lineRule="auto"/>
        <w:jc w:val="center"/>
        <w:rPr>
          <w:rFonts w:ascii="Helvetica" w:hAnsi="Helvetica" w:cs="Helvetica"/>
        </w:rPr>
      </w:pPr>
    </w:p>
    <w:p w14:paraId="0C0273D9" w14:textId="579C996E" w:rsidR="00591187" w:rsidRPr="00591187" w:rsidRDefault="00591187" w:rsidP="00591187">
      <w:pPr>
        <w:pStyle w:val="NormalWeb"/>
        <w:shd w:val="clear" w:color="auto" w:fill="FFFFFF"/>
        <w:spacing w:before="0" w:beforeAutospacing="0" w:after="150" w:afterAutospacing="0" w:line="360" w:lineRule="auto"/>
        <w:jc w:val="both"/>
        <w:rPr>
          <w:rFonts w:ascii="Helvetica" w:hAnsi="Helvetica" w:cs="Helvetica"/>
        </w:rPr>
      </w:pPr>
      <w:r w:rsidRPr="00591187">
        <w:rPr>
          <w:rFonts w:ascii="Helvetica" w:hAnsi="Helvetica" w:cs="Helvetica"/>
        </w:rPr>
        <w:t> 100208192-541</w:t>
      </w:r>
    </w:p>
    <w:p w14:paraId="3B8C6128" w14:textId="60E12F00" w:rsidR="00591187" w:rsidRPr="00591187" w:rsidRDefault="00591187" w:rsidP="00591187">
      <w:pPr>
        <w:pStyle w:val="NormalWeb"/>
        <w:shd w:val="clear" w:color="auto" w:fill="FFFFFF"/>
        <w:spacing w:before="0" w:beforeAutospacing="0" w:after="150" w:afterAutospacing="0" w:line="360" w:lineRule="auto"/>
        <w:jc w:val="both"/>
        <w:rPr>
          <w:rFonts w:ascii="Helvetica" w:hAnsi="Helvetica" w:cs="Helvetica"/>
        </w:rPr>
      </w:pPr>
      <w:r w:rsidRPr="00591187">
        <w:rPr>
          <w:rFonts w:ascii="Helvetica" w:hAnsi="Helvetica" w:cs="Helvetica"/>
        </w:rPr>
        <w:t>Bogotá, D.C.</w:t>
      </w:r>
    </w:p>
    <w:p w14:paraId="13780244" w14:textId="77777777" w:rsidR="00591187" w:rsidRPr="00591187" w:rsidRDefault="00591187" w:rsidP="00591187">
      <w:pPr>
        <w:pStyle w:val="NormalWeb"/>
        <w:shd w:val="clear" w:color="auto" w:fill="FFFFFF"/>
        <w:spacing w:before="0" w:beforeAutospacing="0" w:after="150" w:afterAutospacing="0" w:line="360" w:lineRule="auto"/>
        <w:jc w:val="both"/>
        <w:rPr>
          <w:rFonts w:ascii="Helvetica" w:hAnsi="Helvetica" w:cs="Helvetica"/>
        </w:rPr>
      </w:pPr>
      <w:r w:rsidRPr="00591187">
        <w:rPr>
          <w:rFonts w:ascii="Helvetica" w:hAnsi="Helvetica" w:cs="Helvetica"/>
        </w:rPr>
        <w:t> </w:t>
      </w:r>
    </w:p>
    <w:p w14:paraId="7DFBB028" w14:textId="77777777" w:rsidR="00591187" w:rsidRPr="00591187" w:rsidRDefault="00591187" w:rsidP="00591187">
      <w:pPr>
        <w:pStyle w:val="NormalWeb"/>
        <w:shd w:val="clear" w:color="auto" w:fill="FFFFFF"/>
        <w:spacing w:before="0" w:beforeAutospacing="0" w:after="150" w:afterAutospacing="0" w:line="360" w:lineRule="auto"/>
        <w:jc w:val="both"/>
        <w:rPr>
          <w:rFonts w:ascii="Helvetica" w:hAnsi="Helvetica" w:cs="Helvetica"/>
        </w:rPr>
      </w:pPr>
      <w:r w:rsidRPr="00591187">
        <w:rPr>
          <w:rFonts w:ascii="Helvetica" w:hAnsi="Helvetica" w:cs="Helvetica"/>
        </w:rPr>
        <w:t>Esta Subdirección está facultada para absolver las consultas escritas, presentadas de manera general, sobre la interpretación y aplicación de las normas tributarias, aduaneras y de fiscalización cambiaria, en lo de competencia de la DIAN</w:t>
      </w:r>
      <w:hyperlink r:id="rId4" w:anchor="cite_note-1" w:history="1">
        <w:r w:rsidRPr="00591187">
          <w:rPr>
            <w:rStyle w:val="Hipervnculo"/>
            <w:rFonts w:ascii="Helvetica" w:eastAsiaTheme="majorEastAsia" w:hAnsi="Helvetica" w:cs="Helvetica"/>
            <w:color w:val="auto"/>
            <w:vertAlign w:val="superscript"/>
          </w:rPr>
          <w:t>1</w:t>
        </w:r>
      </w:hyperlink>
      <w:r w:rsidRPr="00591187">
        <w:rPr>
          <w:rFonts w:ascii="Helvetica" w:hAnsi="Helvetica" w:cs="Helvetica"/>
        </w:rPr>
        <w:t>. En este sentido, la doctrina emitida será de carácter general, no se referirá a asuntos particulares y se someterá a lo consagrado en el artículo 131 de la Ley 2010 de 2019</w:t>
      </w:r>
      <w:hyperlink r:id="rId5" w:anchor="cite_note-2" w:history="1">
        <w:r w:rsidRPr="00591187">
          <w:rPr>
            <w:rStyle w:val="Hipervnculo"/>
            <w:rFonts w:ascii="Helvetica" w:eastAsiaTheme="majorEastAsia" w:hAnsi="Helvetica" w:cs="Helvetica"/>
            <w:color w:val="auto"/>
            <w:vertAlign w:val="superscript"/>
          </w:rPr>
          <w:t>2</w:t>
        </w:r>
      </w:hyperlink>
      <w:r w:rsidRPr="00591187">
        <w:rPr>
          <w:rFonts w:ascii="Helvetica" w:hAnsi="Helvetica" w:cs="Helvetica"/>
        </w:rPr>
        <w:t>.</w:t>
      </w:r>
    </w:p>
    <w:p w14:paraId="5080FAE6" w14:textId="38D6A28C" w:rsidR="00591187" w:rsidRPr="00591187" w:rsidRDefault="00591187" w:rsidP="00591187">
      <w:pPr>
        <w:pStyle w:val="NormalWeb"/>
        <w:shd w:val="clear" w:color="auto" w:fill="FFFFFF"/>
        <w:spacing w:before="0" w:beforeAutospacing="0" w:after="150" w:afterAutospacing="0" w:line="360" w:lineRule="auto"/>
        <w:jc w:val="both"/>
        <w:rPr>
          <w:rFonts w:ascii="Helvetica" w:hAnsi="Helvetica" w:cs="Helvetica"/>
        </w:rPr>
      </w:pPr>
      <w:r w:rsidRPr="00591187">
        <w:rPr>
          <w:rFonts w:ascii="Helvetica" w:hAnsi="Helvetica" w:cs="Helvetica"/>
        </w:rPr>
        <w:t xml:space="preserve">En atención a la consulta de la referencia en la que solicita se aclare si los impuestos saludables, impuesto a las bebidas </w:t>
      </w:r>
      <w:proofErr w:type="spellStart"/>
      <w:r w:rsidRPr="00591187">
        <w:rPr>
          <w:rFonts w:ascii="Helvetica" w:hAnsi="Helvetica" w:cs="Helvetica"/>
        </w:rPr>
        <w:t>ultraprocesadas</w:t>
      </w:r>
      <w:proofErr w:type="spellEnd"/>
      <w:r w:rsidRPr="00591187">
        <w:rPr>
          <w:rFonts w:ascii="Helvetica" w:hAnsi="Helvetica" w:cs="Helvetica"/>
        </w:rPr>
        <w:t xml:space="preserve"> azucaradas - IBUA e impuesto a los productos alimenticios </w:t>
      </w:r>
      <w:proofErr w:type="spellStart"/>
      <w:r w:rsidRPr="00591187">
        <w:rPr>
          <w:rFonts w:ascii="Helvetica" w:hAnsi="Helvetica" w:cs="Helvetica"/>
        </w:rPr>
        <w:t>ultraprocesados</w:t>
      </w:r>
      <w:proofErr w:type="spellEnd"/>
      <w:r w:rsidRPr="00591187">
        <w:rPr>
          <w:rFonts w:ascii="Helvetica" w:hAnsi="Helvetica" w:cs="Helvetica"/>
        </w:rPr>
        <w:t xml:space="preserve"> industrialmente – ICUI, deben incluirse en la base gravable del impuesto a las ventas – IVA cuando se efectúa la venta de productos gravados con estos impuestos, a continuación, nuestros comentarios:</w:t>
      </w:r>
    </w:p>
    <w:p w14:paraId="777BB097" w14:textId="6C06A8DE" w:rsidR="00591187" w:rsidRPr="00591187" w:rsidRDefault="00591187" w:rsidP="00591187">
      <w:pPr>
        <w:pStyle w:val="NormalWeb"/>
        <w:shd w:val="clear" w:color="auto" w:fill="FFFFFF"/>
        <w:spacing w:before="0" w:beforeAutospacing="0" w:after="150" w:afterAutospacing="0" w:line="360" w:lineRule="auto"/>
        <w:jc w:val="both"/>
        <w:rPr>
          <w:rFonts w:ascii="Helvetica" w:hAnsi="Helvetica" w:cs="Helvetica"/>
        </w:rPr>
      </w:pPr>
      <w:r w:rsidRPr="00591187">
        <w:rPr>
          <w:rFonts w:ascii="Helvetica" w:hAnsi="Helvetica" w:cs="Helvetica"/>
        </w:rPr>
        <w:t>En principio, es importante señalar que tanto el ICUI como el IBUA se causan en (i) la producción, cuando son objeto de venta, retiro de inventarios o cualquier acto que implique transferencia de dominio a título gratuito u oneroso o (</w:t>
      </w:r>
      <w:proofErr w:type="spellStart"/>
      <w:r w:rsidRPr="00591187">
        <w:rPr>
          <w:rFonts w:ascii="Helvetica" w:hAnsi="Helvetica" w:cs="Helvetica"/>
        </w:rPr>
        <w:t>ii</w:t>
      </w:r>
      <w:proofErr w:type="spellEnd"/>
      <w:r w:rsidRPr="00591187">
        <w:rPr>
          <w:rFonts w:ascii="Helvetica" w:hAnsi="Helvetica" w:cs="Helvetica"/>
        </w:rPr>
        <w:t>) en la importación de bienes que cumplan con los presupuestos señalados en los puntos 1.1. y 1.16. del Concepto General sobre Impuestos Saludables, respectivamente.</w:t>
      </w:r>
    </w:p>
    <w:p w14:paraId="30898E7E" w14:textId="6887A4B5" w:rsidR="00591187" w:rsidRPr="00591187" w:rsidRDefault="00591187" w:rsidP="00591187">
      <w:pPr>
        <w:pStyle w:val="NormalWeb"/>
        <w:shd w:val="clear" w:color="auto" w:fill="FFFFFF"/>
        <w:spacing w:before="0" w:beforeAutospacing="0" w:after="150" w:afterAutospacing="0" w:line="360" w:lineRule="auto"/>
        <w:jc w:val="both"/>
        <w:rPr>
          <w:rFonts w:ascii="Helvetica" w:hAnsi="Helvetica" w:cs="Helvetica"/>
        </w:rPr>
      </w:pPr>
      <w:r w:rsidRPr="00591187">
        <w:rPr>
          <w:rFonts w:ascii="Helvetica" w:hAnsi="Helvetica" w:cs="Helvetica"/>
          <w:highlight w:val="yellow"/>
        </w:rPr>
        <w:t>Respecto a la facturación de los impuestos saludables, el parágrafo 3 de los artículos </w:t>
      </w:r>
      <w:r w:rsidRPr="00591187">
        <w:rPr>
          <w:rFonts w:ascii="Helvetica" w:hAnsi="Helvetica" w:cs="Helvetica"/>
          <w:highlight w:val="yellow"/>
          <w:u w:val="single"/>
        </w:rPr>
        <w:t>513-5</w:t>
      </w:r>
      <w:r w:rsidRPr="00591187">
        <w:rPr>
          <w:rFonts w:ascii="Helvetica" w:hAnsi="Helvetica" w:cs="Helvetica"/>
          <w:highlight w:val="yellow"/>
        </w:rPr>
        <w:t> y </w:t>
      </w:r>
      <w:r w:rsidRPr="00591187">
        <w:rPr>
          <w:rFonts w:ascii="Helvetica" w:hAnsi="Helvetica" w:cs="Helvetica"/>
          <w:highlight w:val="yellow"/>
          <w:u w:val="single"/>
        </w:rPr>
        <w:t>513-10</w:t>
      </w:r>
      <w:r w:rsidRPr="00591187">
        <w:rPr>
          <w:rFonts w:ascii="Helvetica" w:hAnsi="Helvetica" w:cs="Helvetica"/>
          <w:highlight w:val="yellow"/>
        </w:rPr>
        <w:t xml:space="preserve"> del Estatuto Tributario establece la obligación de discriminarlos en las respectivas facturas de venta, pero únicamente cuando se realiza el primer hecho generador, ya sea la producción o importación, toda vez que atendiendo a su carácter monofásico y de acuerdo con el punto 4.3. del Concepto </w:t>
      </w:r>
      <w:r w:rsidRPr="00591187">
        <w:rPr>
          <w:rFonts w:ascii="Helvetica" w:hAnsi="Helvetica" w:cs="Helvetica"/>
          <w:highlight w:val="yellow"/>
        </w:rPr>
        <w:lastRenderedPageBreak/>
        <w:t>General sobre Impuestos Saludables, estos no se generan en las subsecuentes ventas que se hagan de un mismo producto.</w:t>
      </w:r>
    </w:p>
    <w:p w14:paraId="4591B93C" w14:textId="7C85D71E" w:rsidR="00591187" w:rsidRPr="00591187" w:rsidRDefault="00591187" w:rsidP="00591187">
      <w:pPr>
        <w:pStyle w:val="NormalWeb"/>
        <w:shd w:val="clear" w:color="auto" w:fill="FFFFFF"/>
        <w:spacing w:before="0" w:beforeAutospacing="0" w:after="150" w:afterAutospacing="0" w:line="360" w:lineRule="auto"/>
        <w:jc w:val="both"/>
        <w:rPr>
          <w:rFonts w:ascii="Helvetica" w:hAnsi="Helvetica" w:cs="Helvetica"/>
        </w:rPr>
      </w:pPr>
      <w:r w:rsidRPr="00591187">
        <w:rPr>
          <w:rFonts w:ascii="Helvetica" w:hAnsi="Helvetica" w:cs="Helvetica"/>
        </w:rPr>
        <w:t>Ahora bien, en lo que concierne al IVA, es importante acudir al </w:t>
      </w:r>
      <w:r w:rsidRPr="00591187">
        <w:rPr>
          <w:rFonts w:ascii="Helvetica" w:hAnsi="Helvetica" w:cs="Helvetica"/>
          <w:u w:val="single"/>
        </w:rPr>
        <w:t>artículo 447</w:t>
      </w:r>
      <w:r w:rsidRPr="00591187">
        <w:rPr>
          <w:rFonts w:ascii="Helvetica" w:hAnsi="Helvetica" w:cs="Helvetica"/>
        </w:rPr>
        <w:t> del Estatuto Tributario el cual señala la base gravable en la venta y en la prestación de servicios:</w:t>
      </w:r>
    </w:p>
    <w:p w14:paraId="6D312D0C" w14:textId="05A9998C" w:rsidR="00591187" w:rsidRPr="00591187" w:rsidRDefault="00591187" w:rsidP="00591187">
      <w:pPr>
        <w:pStyle w:val="NormalWeb"/>
        <w:shd w:val="clear" w:color="auto" w:fill="FFFFFF"/>
        <w:spacing w:before="0" w:beforeAutospacing="0" w:after="150" w:afterAutospacing="0" w:line="360" w:lineRule="auto"/>
        <w:jc w:val="both"/>
        <w:rPr>
          <w:rFonts w:ascii="Helvetica" w:hAnsi="Helvetica" w:cs="Helvetica"/>
        </w:rPr>
      </w:pPr>
      <w:r w:rsidRPr="00591187">
        <w:rPr>
          <w:rFonts w:ascii="Helvetica" w:hAnsi="Helvetica" w:cs="Helvetica"/>
        </w:rPr>
        <w:t>En la venta y prestación de servicios, la base gravable será el valor total de la operación, sea que ésta se realice de contado o a crédito, incluyendo entre otros los gastos directos de financiación ordinaria, extraordinaria, o moratoria, accesorios, acarreos, instalaciones, seguros, comisiones, garantías y demás erogaciones complementarias, aunque se facturen o convengan por separado y aunque, considerados independientemente, no se encuentren sometidos a imposición.</w:t>
      </w:r>
    </w:p>
    <w:p w14:paraId="3BB76F8F" w14:textId="4328C45B" w:rsidR="00591187" w:rsidRPr="00591187" w:rsidRDefault="00591187" w:rsidP="00591187">
      <w:pPr>
        <w:pStyle w:val="NormalWeb"/>
        <w:shd w:val="clear" w:color="auto" w:fill="FFFFFF"/>
        <w:spacing w:before="0" w:beforeAutospacing="0" w:after="150" w:afterAutospacing="0" w:line="360" w:lineRule="auto"/>
        <w:jc w:val="both"/>
        <w:rPr>
          <w:rFonts w:ascii="Helvetica" w:hAnsi="Helvetica" w:cs="Helvetica"/>
        </w:rPr>
      </w:pPr>
      <w:r w:rsidRPr="00591187">
        <w:rPr>
          <w:rFonts w:ascii="Helvetica" w:hAnsi="Helvetica" w:cs="Helvetica"/>
        </w:rPr>
        <w:t>Así las cosas, en la venta de un producto gravado con impuesto saludable, la base gravable para liquidar el IVA corresponderá al valor de la operación, sin embargo, dentro de este concepto no se incluye el impuesto saludable calculado sobre el producto en la medida en que (i) La Ley exige la discriminación del impuesto saludable en la factura de venta (cfr. parágrafo 3 de los artículos </w:t>
      </w:r>
      <w:r w:rsidRPr="00591187">
        <w:rPr>
          <w:rFonts w:ascii="Helvetica" w:hAnsi="Helvetica" w:cs="Helvetica"/>
          <w:u w:val="single"/>
        </w:rPr>
        <w:t>513-5</w:t>
      </w:r>
      <w:r w:rsidRPr="00591187">
        <w:rPr>
          <w:rFonts w:ascii="Helvetica" w:hAnsi="Helvetica" w:cs="Helvetica"/>
        </w:rPr>
        <w:t> y </w:t>
      </w:r>
      <w:r w:rsidRPr="00591187">
        <w:rPr>
          <w:rFonts w:ascii="Helvetica" w:hAnsi="Helvetica" w:cs="Helvetica"/>
          <w:u w:val="single"/>
        </w:rPr>
        <w:t>513-10</w:t>
      </w:r>
      <w:r w:rsidRPr="00591187">
        <w:rPr>
          <w:rFonts w:ascii="Helvetica" w:hAnsi="Helvetica" w:cs="Helvetica"/>
        </w:rPr>
        <w:t> del Estatuto Tributario) y (</w:t>
      </w:r>
      <w:proofErr w:type="spellStart"/>
      <w:r w:rsidRPr="00591187">
        <w:rPr>
          <w:rFonts w:ascii="Helvetica" w:hAnsi="Helvetica" w:cs="Helvetica"/>
        </w:rPr>
        <w:t>ii</w:t>
      </w:r>
      <w:proofErr w:type="spellEnd"/>
      <w:r w:rsidRPr="00591187">
        <w:rPr>
          <w:rFonts w:ascii="Helvetica" w:hAnsi="Helvetica" w:cs="Helvetica"/>
        </w:rPr>
        <w:t>) Es un costo deducible como mayor valor del bien (cfr. parágrafo 1 de los artículos </w:t>
      </w:r>
      <w:r w:rsidRPr="00591187">
        <w:rPr>
          <w:rFonts w:ascii="Helvetica" w:hAnsi="Helvetica" w:cs="Helvetica"/>
          <w:u w:val="single"/>
        </w:rPr>
        <w:t>513-5</w:t>
      </w:r>
      <w:r w:rsidRPr="00591187">
        <w:rPr>
          <w:rFonts w:ascii="Helvetica" w:hAnsi="Helvetica" w:cs="Helvetica"/>
        </w:rPr>
        <w:t> y </w:t>
      </w:r>
      <w:r w:rsidRPr="00591187">
        <w:rPr>
          <w:rFonts w:ascii="Helvetica" w:hAnsi="Helvetica" w:cs="Helvetica"/>
          <w:u w:val="single"/>
        </w:rPr>
        <w:t>513-10</w:t>
      </w:r>
      <w:r w:rsidRPr="00591187">
        <w:rPr>
          <w:rFonts w:ascii="Helvetica" w:hAnsi="Helvetica" w:cs="Helvetica"/>
        </w:rPr>
        <w:t> del Estatuto Tributario).</w:t>
      </w:r>
    </w:p>
    <w:p w14:paraId="2CBAB939" w14:textId="0E01BC11" w:rsidR="00591187" w:rsidRPr="00591187" w:rsidRDefault="00591187" w:rsidP="00591187">
      <w:pPr>
        <w:pStyle w:val="NormalWeb"/>
        <w:shd w:val="clear" w:color="auto" w:fill="FFFFFF"/>
        <w:spacing w:before="0" w:beforeAutospacing="0" w:after="150" w:afterAutospacing="0" w:line="360" w:lineRule="auto"/>
        <w:jc w:val="both"/>
        <w:rPr>
          <w:rFonts w:ascii="Helvetica" w:hAnsi="Helvetica" w:cs="Helvetica"/>
        </w:rPr>
      </w:pPr>
      <w:r w:rsidRPr="00591187">
        <w:rPr>
          <w:rFonts w:ascii="Helvetica" w:hAnsi="Helvetica" w:cs="Helvetica"/>
        </w:rPr>
        <w:t> En los anteriores términos se absuelve su petición y se recuerda que la normativa, jurisprudencia y doctrina en materia tributaria, aduanera y de fiscalización cambiaria, en lo de competencia de esta Entidad, puede consultarse en el normograma DIAN: </w:t>
      </w:r>
      <w:hyperlink r:id="rId6" w:tgtFrame="_blank" w:history="1">
        <w:r w:rsidRPr="00591187">
          <w:rPr>
            <w:rStyle w:val="Hipervnculo"/>
            <w:rFonts w:ascii="Helvetica" w:eastAsiaTheme="majorEastAsia" w:hAnsi="Helvetica" w:cs="Helvetica"/>
            <w:color w:val="auto"/>
          </w:rPr>
          <w:t>https://normograma.dian.gov.co/dian/</w:t>
        </w:r>
      </w:hyperlink>
      <w:r w:rsidRPr="00591187">
        <w:rPr>
          <w:rFonts w:ascii="Helvetica" w:hAnsi="Helvetica" w:cs="Helvetica"/>
        </w:rPr>
        <w:t>.</w:t>
      </w:r>
    </w:p>
    <w:p w14:paraId="39455E32" w14:textId="77777777" w:rsidR="00591187" w:rsidRPr="00591187" w:rsidRDefault="00591187" w:rsidP="00591187">
      <w:pPr>
        <w:pStyle w:val="NormalWeb"/>
        <w:shd w:val="clear" w:color="auto" w:fill="FFFFFF"/>
        <w:spacing w:before="0" w:beforeAutospacing="0" w:after="150" w:afterAutospacing="0" w:line="360" w:lineRule="auto"/>
        <w:jc w:val="both"/>
        <w:rPr>
          <w:rFonts w:ascii="Helvetica" w:hAnsi="Helvetica" w:cs="Helvetica"/>
        </w:rPr>
      </w:pPr>
    </w:p>
    <w:p w14:paraId="1B93E834" w14:textId="6F660E74" w:rsidR="00591187" w:rsidRPr="00591187" w:rsidRDefault="00591187" w:rsidP="00591187">
      <w:pPr>
        <w:pStyle w:val="NormalWeb"/>
        <w:shd w:val="clear" w:color="auto" w:fill="FFFFFF"/>
        <w:spacing w:before="0" w:beforeAutospacing="0" w:after="150" w:afterAutospacing="0" w:line="360" w:lineRule="auto"/>
        <w:jc w:val="both"/>
        <w:rPr>
          <w:rFonts w:ascii="Helvetica" w:hAnsi="Helvetica" w:cs="Helvetica"/>
        </w:rPr>
      </w:pPr>
      <w:r w:rsidRPr="00591187">
        <w:rPr>
          <w:rFonts w:ascii="Helvetica" w:hAnsi="Helvetica" w:cs="Helvetica"/>
        </w:rPr>
        <w:t>Atentamente,</w:t>
      </w:r>
    </w:p>
    <w:p w14:paraId="589D72AA" w14:textId="49C9FB2B" w:rsidR="00591187" w:rsidRPr="00591187" w:rsidRDefault="00591187" w:rsidP="00591187">
      <w:pPr>
        <w:pStyle w:val="NormalWeb"/>
        <w:shd w:val="clear" w:color="auto" w:fill="FFFFFF"/>
        <w:spacing w:before="0" w:beforeAutospacing="0" w:after="150" w:afterAutospacing="0" w:line="360" w:lineRule="auto"/>
        <w:jc w:val="both"/>
        <w:rPr>
          <w:rFonts w:ascii="Helvetica" w:hAnsi="Helvetica" w:cs="Helvetica"/>
        </w:rPr>
      </w:pPr>
      <w:r w:rsidRPr="00591187">
        <w:rPr>
          <w:rFonts w:ascii="Helvetica" w:hAnsi="Helvetica" w:cs="Helvetica"/>
          <w:b/>
          <w:bCs/>
        </w:rPr>
        <w:t>INGRID CASTAÑEDA CEPEDA</w:t>
      </w:r>
    </w:p>
    <w:p w14:paraId="2B44C697" w14:textId="77777777" w:rsidR="00591187" w:rsidRPr="00591187" w:rsidRDefault="00591187" w:rsidP="00591187">
      <w:pPr>
        <w:pStyle w:val="NormalWeb"/>
        <w:shd w:val="clear" w:color="auto" w:fill="FFFFFF"/>
        <w:spacing w:before="0" w:beforeAutospacing="0" w:after="150" w:afterAutospacing="0" w:line="360" w:lineRule="auto"/>
        <w:jc w:val="both"/>
        <w:rPr>
          <w:rFonts w:ascii="Helvetica" w:hAnsi="Helvetica" w:cs="Helvetica"/>
        </w:rPr>
      </w:pPr>
      <w:r w:rsidRPr="00591187">
        <w:rPr>
          <w:rFonts w:ascii="Helvetica" w:hAnsi="Helvetica" w:cs="Helvetica"/>
        </w:rPr>
        <w:t>Subdirectora de Normativa y Doctrina (A)</w:t>
      </w:r>
    </w:p>
    <w:p w14:paraId="088358BD" w14:textId="77777777" w:rsidR="00591187" w:rsidRPr="00591187" w:rsidRDefault="00591187" w:rsidP="00591187">
      <w:pPr>
        <w:pStyle w:val="NormalWeb"/>
        <w:shd w:val="clear" w:color="auto" w:fill="FFFFFF"/>
        <w:spacing w:before="0" w:beforeAutospacing="0" w:after="0" w:afterAutospacing="0" w:line="360" w:lineRule="auto"/>
        <w:jc w:val="both"/>
        <w:rPr>
          <w:rFonts w:ascii="Helvetica" w:hAnsi="Helvetica" w:cs="Helvetica"/>
        </w:rPr>
      </w:pPr>
      <w:r w:rsidRPr="00591187">
        <w:rPr>
          <w:rFonts w:ascii="Helvetica" w:hAnsi="Helvetica" w:cs="Helvetica"/>
        </w:rPr>
        <w:t>Dirección de Gestión Jurídica</w:t>
      </w:r>
    </w:p>
    <w:p w14:paraId="0B646183" w14:textId="77777777" w:rsidR="00F158FA" w:rsidRPr="00591187" w:rsidRDefault="00F158FA" w:rsidP="00591187">
      <w:pPr>
        <w:spacing w:line="360" w:lineRule="auto"/>
        <w:jc w:val="both"/>
      </w:pPr>
    </w:p>
    <w:sectPr w:rsidR="00F158FA" w:rsidRPr="0059118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187"/>
    <w:rsid w:val="00591187"/>
    <w:rsid w:val="00B713E8"/>
    <w:rsid w:val="00F158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F7F42"/>
  <w15:chartTrackingRefBased/>
  <w15:docId w15:val="{DF1EB0D0-7231-407D-BCA2-FE4E001D2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911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911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9118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9118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591187"/>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591187"/>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591187"/>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591187"/>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591187"/>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9118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9118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91187"/>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91187"/>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591187"/>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591187"/>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591187"/>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591187"/>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591187"/>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5911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9118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9118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91187"/>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591187"/>
    <w:pPr>
      <w:spacing w:before="160"/>
      <w:jc w:val="center"/>
    </w:pPr>
    <w:rPr>
      <w:i/>
      <w:iCs/>
      <w:color w:val="404040" w:themeColor="text1" w:themeTint="BF"/>
    </w:rPr>
  </w:style>
  <w:style w:type="character" w:customStyle="1" w:styleId="CitaCar">
    <w:name w:val="Cita Car"/>
    <w:basedOn w:val="Fuentedeprrafopredeter"/>
    <w:link w:val="Cita"/>
    <w:uiPriority w:val="29"/>
    <w:rsid w:val="00591187"/>
    <w:rPr>
      <w:i/>
      <w:iCs/>
      <w:color w:val="404040" w:themeColor="text1" w:themeTint="BF"/>
    </w:rPr>
  </w:style>
  <w:style w:type="paragraph" w:styleId="Prrafodelista">
    <w:name w:val="List Paragraph"/>
    <w:basedOn w:val="Normal"/>
    <w:uiPriority w:val="34"/>
    <w:qFormat/>
    <w:rsid w:val="00591187"/>
    <w:pPr>
      <w:ind w:left="720"/>
      <w:contextualSpacing/>
    </w:pPr>
  </w:style>
  <w:style w:type="character" w:styleId="nfasisintenso">
    <w:name w:val="Intense Emphasis"/>
    <w:basedOn w:val="Fuentedeprrafopredeter"/>
    <w:uiPriority w:val="21"/>
    <w:qFormat/>
    <w:rsid w:val="00591187"/>
    <w:rPr>
      <w:i/>
      <w:iCs/>
      <w:color w:val="0F4761" w:themeColor="accent1" w:themeShade="BF"/>
    </w:rPr>
  </w:style>
  <w:style w:type="paragraph" w:styleId="Citadestacada">
    <w:name w:val="Intense Quote"/>
    <w:basedOn w:val="Normal"/>
    <w:next w:val="Normal"/>
    <w:link w:val="CitadestacadaCar"/>
    <w:uiPriority w:val="30"/>
    <w:qFormat/>
    <w:rsid w:val="005911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91187"/>
    <w:rPr>
      <w:i/>
      <w:iCs/>
      <w:color w:val="0F4761" w:themeColor="accent1" w:themeShade="BF"/>
    </w:rPr>
  </w:style>
  <w:style w:type="character" w:styleId="Referenciaintensa">
    <w:name w:val="Intense Reference"/>
    <w:basedOn w:val="Fuentedeprrafopredeter"/>
    <w:uiPriority w:val="32"/>
    <w:qFormat/>
    <w:rsid w:val="00591187"/>
    <w:rPr>
      <w:b/>
      <w:bCs/>
      <w:smallCaps/>
      <w:color w:val="0F4761" w:themeColor="accent1" w:themeShade="BF"/>
      <w:spacing w:val="5"/>
    </w:rPr>
  </w:style>
  <w:style w:type="paragraph" w:customStyle="1" w:styleId="text-align-center">
    <w:name w:val="text-align-center"/>
    <w:basedOn w:val="Normal"/>
    <w:rsid w:val="00591187"/>
    <w:pPr>
      <w:spacing w:before="100" w:beforeAutospacing="1" w:after="100" w:afterAutospacing="1" w:line="240" w:lineRule="auto"/>
    </w:pPr>
    <w:rPr>
      <w:rFonts w:ascii="Times New Roman" w:eastAsia="Times New Roman" w:hAnsi="Times New Roman" w:cs="Times New Roman"/>
      <w:kern w:val="0"/>
      <w:lang w:eastAsia="es-CO"/>
      <w14:ligatures w14:val="none"/>
    </w:rPr>
  </w:style>
  <w:style w:type="paragraph" w:styleId="NormalWeb">
    <w:name w:val="Normal (Web)"/>
    <w:basedOn w:val="Normal"/>
    <w:uiPriority w:val="99"/>
    <w:semiHidden/>
    <w:unhideWhenUsed/>
    <w:rsid w:val="00591187"/>
    <w:pPr>
      <w:spacing w:before="100" w:beforeAutospacing="1" w:after="100" w:afterAutospacing="1" w:line="240" w:lineRule="auto"/>
    </w:pPr>
    <w:rPr>
      <w:rFonts w:ascii="Times New Roman" w:eastAsia="Times New Roman" w:hAnsi="Times New Roman" w:cs="Times New Roman"/>
      <w:kern w:val="0"/>
      <w:lang w:eastAsia="es-CO"/>
      <w14:ligatures w14:val="none"/>
    </w:rPr>
  </w:style>
  <w:style w:type="character" w:styleId="Hipervnculo">
    <w:name w:val="Hyperlink"/>
    <w:basedOn w:val="Fuentedeprrafopredeter"/>
    <w:uiPriority w:val="99"/>
    <w:semiHidden/>
    <w:unhideWhenUsed/>
    <w:rsid w:val="005911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516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rmograma.dian.gov.co/dian/" TargetMode="External"/><Relationship Id="rId5" Type="http://schemas.openxmlformats.org/officeDocument/2006/relationships/hyperlink" Target="https://www.ceta.org.co/html/vista_de_un_documento.asp?DocumentoID=52031" TargetMode="External"/><Relationship Id="rId4" Type="http://schemas.openxmlformats.org/officeDocument/2006/relationships/hyperlink" Target="https://www.ceta.org.co/html/vista_de_un_documento.asp?DocumentoID=5203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569</Words>
  <Characters>3133</Characters>
  <Application>Microsoft Office Word</Application>
  <DocSecurity>0</DocSecurity>
  <Lines>26</Lines>
  <Paragraphs>7</Paragraphs>
  <ScaleCrop>false</ScaleCrop>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2024-08-23T20:56:00Z</dcterms:created>
  <dcterms:modified xsi:type="dcterms:W3CDTF">2024-08-23T21:00:00Z</dcterms:modified>
</cp:coreProperties>
</file>