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097A9" w14:textId="77777777" w:rsidR="005B1014" w:rsidRPr="00C57E78" w:rsidRDefault="005B1014" w:rsidP="005B1014">
      <w:pPr>
        <w:rPr>
          <w:szCs w:val="24"/>
        </w:rPr>
      </w:pPr>
    </w:p>
    <w:p w14:paraId="26817F68" w14:textId="77777777" w:rsidR="005B1014" w:rsidRPr="00C57E78" w:rsidRDefault="005B1014" w:rsidP="005B1014">
      <w:pPr>
        <w:pStyle w:val="NormalWeb"/>
        <w:spacing w:before="0" w:beforeAutospacing="0" w:after="0" w:afterAutospacing="0"/>
        <w:jc w:val="both"/>
        <w:rPr>
          <w:rFonts w:ascii="Segoe UI" w:hAnsi="Segoe UI" w:cs="Segoe UI"/>
          <w:color w:val="000000"/>
        </w:rPr>
      </w:pPr>
    </w:p>
    <w:p w14:paraId="4043BEE5" w14:textId="77777777" w:rsidR="005B1014" w:rsidRPr="00C57E78" w:rsidRDefault="005B1014" w:rsidP="005B1014">
      <w:pPr>
        <w:pStyle w:val="NormalWeb"/>
        <w:spacing w:before="0" w:beforeAutospacing="0" w:after="0" w:afterAutospacing="0"/>
        <w:jc w:val="both"/>
        <w:rPr>
          <w:rFonts w:ascii="Segoe UI" w:hAnsi="Segoe UI" w:cs="Segoe UI"/>
          <w:color w:val="000000"/>
        </w:rPr>
      </w:pPr>
    </w:p>
    <w:p w14:paraId="3867564B" w14:textId="77777777" w:rsidR="005B1014" w:rsidRPr="00C57E78" w:rsidRDefault="005B1014" w:rsidP="005B1014">
      <w:pPr>
        <w:pStyle w:val="NormalWeb"/>
        <w:spacing w:before="0" w:beforeAutospacing="0" w:after="0" w:afterAutospacing="0"/>
        <w:jc w:val="both"/>
        <w:rPr>
          <w:rFonts w:ascii="Segoe UI" w:hAnsi="Segoe UI" w:cs="Segoe UI"/>
          <w:color w:val="000000"/>
        </w:rPr>
      </w:pPr>
    </w:p>
    <w:p w14:paraId="4520CD1A" w14:textId="77777777" w:rsidR="00C57E78" w:rsidRPr="00C57E78" w:rsidRDefault="00C57E78" w:rsidP="00C57E78">
      <w:pPr>
        <w:spacing w:after="0" w:line="240" w:lineRule="auto"/>
        <w:jc w:val="center"/>
        <w:rPr>
          <w:rFonts w:ascii="Segoe UI" w:eastAsia="Times New Roman" w:hAnsi="Segoe UI" w:cs="Segoe UI"/>
          <w:color w:val="000000"/>
          <w:kern w:val="0"/>
          <w:szCs w:val="24"/>
          <w:lang w:eastAsia="es-CO"/>
          <w14:ligatures w14:val="none"/>
        </w:rPr>
      </w:pPr>
      <w:r w:rsidRPr="00C57E78">
        <w:rPr>
          <w:rFonts w:ascii="Segoe UI" w:eastAsia="Times New Roman" w:hAnsi="Segoe UI" w:cs="Segoe UI"/>
          <w:b/>
          <w:bCs/>
          <w:color w:val="000000"/>
          <w:kern w:val="0"/>
          <w:szCs w:val="24"/>
          <w:lang w:eastAsia="es-CO"/>
          <w14:ligatures w14:val="none"/>
        </w:rPr>
        <w:t xml:space="preserve">Concepto </w:t>
      </w:r>
      <w:proofErr w:type="spellStart"/>
      <w:r w:rsidRPr="00C57E78">
        <w:rPr>
          <w:rFonts w:ascii="Segoe UI" w:eastAsia="Times New Roman" w:hAnsi="Segoe UI" w:cs="Segoe UI"/>
          <w:b/>
          <w:bCs/>
          <w:color w:val="000000"/>
          <w:kern w:val="0"/>
          <w:szCs w:val="24"/>
          <w:lang w:eastAsia="es-CO"/>
          <w14:ligatures w14:val="none"/>
        </w:rPr>
        <w:t>Nº</w:t>
      </w:r>
      <w:proofErr w:type="spellEnd"/>
      <w:r w:rsidRPr="00C57E78">
        <w:rPr>
          <w:rFonts w:ascii="Segoe UI" w:eastAsia="Times New Roman" w:hAnsi="Segoe UI" w:cs="Segoe UI"/>
          <w:b/>
          <w:bCs/>
          <w:color w:val="000000"/>
          <w:kern w:val="0"/>
          <w:szCs w:val="24"/>
          <w:lang w:eastAsia="es-CO"/>
          <w14:ligatures w14:val="none"/>
        </w:rPr>
        <w:t xml:space="preserve"> 425 [003636]</w:t>
      </w:r>
    </w:p>
    <w:p w14:paraId="16693BE2" w14:textId="77777777" w:rsidR="00C57E78" w:rsidRPr="00C57E78" w:rsidRDefault="00C57E78" w:rsidP="00C57E78">
      <w:pPr>
        <w:spacing w:after="0" w:line="240" w:lineRule="auto"/>
        <w:jc w:val="center"/>
        <w:rPr>
          <w:rFonts w:ascii="Segoe UI" w:eastAsia="Times New Roman" w:hAnsi="Segoe UI" w:cs="Segoe UI"/>
          <w:color w:val="000000"/>
          <w:kern w:val="0"/>
          <w:szCs w:val="24"/>
          <w:lang w:eastAsia="es-CO"/>
          <w14:ligatures w14:val="none"/>
        </w:rPr>
      </w:pPr>
      <w:r w:rsidRPr="00C57E78">
        <w:rPr>
          <w:rFonts w:ascii="Segoe UI" w:eastAsia="Times New Roman" w:hAnsi="Segoe UI" w:cs="Segoe UI"/>
          <w:b/>
          <w:bCs/>
          <w:color w:val="000000"/>
          <w:kern w:val="0"/>
          <w:szCs w:val="24"/>
          <w:lang w:eastAsia="es-CO"/>
          <w14:ligatures w14:val="none"/>
        </w:rPr>
        <w:t>06-06-2024</w:t>
      </w:r>
    </w:p>
    <w:p w14:paraId="5E2B13FB" w14:textId="77777777" w:rsidR="00C57E78" w:rsidRPr="00C57E78" w:rsidRDefault="00C57E78" w:rsidP="00C57E78">
      <w:pPr>
        <w:spacing w:after="0" w:line="240" w:lineRule="auto"/>
        <w:jc w:val="center"/>
        <w:rPr>
          <w:rFonts w:ascii="Segoe UI" w:eastAsia="Times New Roman" w:hAnsi="Segoe UI" w:cs="Segoe UI"/>
          <w:color w:val="000000"/>
          <w:kern w:val="0"/>
          <w:szCs w:val="24"/>
          <w:lang w:eastAsia="es-CO"/>
          <w14:ligatures w14:val="none"/>
        </w:rPr>
      </w:pPr>
      <w:r w:rsidRPr="00C57E78">
        <w:rPr>
          <w:rFonts w:ascii="Segoe UI" w:eastAsia="Times New Roman" w:hAnsi="Segoe UI" w:cs="Segoe UI"/>
          <w:b/>
          <w:bCs/>
          <w:color w:val="000000"/>
          <w:kern w:val="0"/>
          <w:szCs w:val="24"/>
          <w:lang w:eastAsia="es-CO"/>
          <w14:ligatures w14:val="none"/>
        </w:rPr>
        <w:t>DIAN</w:t>
      </w:r>
    </w:p>
    <w:p w14:paraId="35AA7DF1"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68AE66C2"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05A90303"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100208192-425</w:t>
      </w:r>
    </w:p>
    <w:p w14:paraId="3FE53819"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57A5DECA"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Bogotá, D.C.</w:t>
      </w:r>
    </w:p>
    <w:p w14:paraId="1160BEB5"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4780D8A1"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b/>
          <w:bCs/>
          <w:color w:val="000000"/>
          <w:kern w:val="0"/>
          <w:szCs w:val="24"/>
          <w:lang w:eastAsia="es-CO"/>
          <w14:ligatures w14:val="none"/>
        </w:rPr>
        <w:t>Ref.:</w:t>
      </w:r>
      <w:r w:rsidRPr="00C57E78">
        <w:rPr>
          <w:rFonts w:ascii="Segoe UI" w:eastAsia="Times New Roman" w:hAnsi="Segoe UI" w:cs="Segoe UI"/>
          <w:color w:val="000000"/>
          <w:kern w:val="0"/>
          <w:szCs w:val="24"/>
          <w:lang w:eastAsia="es-CO"/>
          <w14:ligatures w14:val="none"/>
        </w:rPr>
        <w:t> Radicado No. 000334 - DP000034691 del 11/03/2024</w:t>
      </w:r>
    </w:p>
    <w:p w14:paraId="35037F24"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62315C12"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Cordial saludo,</w:t>
      </w:r>
    </w:p>
    <w:p w14:paraId="1AA61022"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6FC5A9E9"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Esta Subdirección está facultada para absolver las consultas escritas, presentadas de manera general, sobre la interpretación y aplicación de las normas tributarias, aduaneras y de fiscalización cambiaria, en lo de competencia de la DIAN</w:t>
      </w:r>
      <w:hyperlink r:id="rId5" w:anchor="cite_note-1" w:history="1">
        <w:r w:rsidRPr="00C57E78">
          <w:rPr>
            <w:rFonts w:ascii="Segoe UI" w:eastAsia="Times New Roman" w:hAnsi="Segoe UI" w:cs="Segoe UI"/>
            <w:color w:val="0645AD"/>
            <w:kern w:val="0"/>
            <w:szCs w:val="24"/>
            <w:u w:val="single"/>
            <w:vertAlign w:val="superscript"/>
            <w:lang w:eastAsia="es-CO"/>
            <w14:ligatures w14:val="none"/>
          </w:rPr>
          <w:t>1</w:t>
        </w:r>
      </w:hyperlink>
      <w:r w:rsidRPr="00C57E78">
        <w:rPr>
          <w:rFonts w:ascii="Segoe UI" w:eastAsia="Times New Roman" w:hAnsi="Segoe UI" w:cs="Segoe UI"/>
          <w:color w:val="000000"/>
          <w:kern w:val="0"/>
          <w:szCs w:val="24"/>
          <w:lang w:eastAsia="es-CO"/>
          <w14:ligatures w14:val="none"/>
        </w:rPr>
        <w:t>. En este sentido, la doctrina emitida será de carácter general, no se referirá a asuntos particulares y se someterá a lo consagrado en el artículo 131 de la Ley 2010 de 2019</w:t>
      </w:r>
      <w:hyperlink r:id="rId6" w:anchor="cite_note-2" w:history="1">
        <w:r w:rsidRPr="00C57E78">
          <w:rPr>
            <w:rFonts w:ascii="Segoe UI" w:eastAsia="Times New Roman" w:hAnsi="Segoe UI" w:cs="Segoe UI"/>
            <w:color w:val="0645AD"/>
            <w:kern w:val="0"/>
            <w:szCs w:val="24"/>
            <w:u w:val="single"/>
            <w:vertAlign w:val="superscript"/>
            <w:lang w:eastAsia="es-CO"/>
            <w14:ligatures w14:val="none"/>
          </w:rPr>
          <w:t>2</w:t>
        </w:r>
      </w:hyperlink>
      <w:r w:rsidRPr="00C57E78">
        <w:rPr>
          <w:rFonts w:ascii="Segoe UI" w:eastAsia="Times New Roman" w:hAnsi="Segoe UI" w:cs="Segoe UI"/>
          <w:color w:val="000000"/>
          <w:kern w:val="0"/>
          <w:szCs w:val="24"/>
          <w:lang w:eastAsia="es-CO"/>
          <w14:ligatures w14:val="none"/>
        </w:rPr>
        <w:t>.</w:t>
      </w:r>
    </w:p>
    <w:p w14:paraId="0D144D61"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5EE92DEB"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En atención a su consulta relacionada con los rendimientos financieros provenientes de aportes de fondos de pensiones voluntarias, que se retiran sin el cumplimiento de las condiciones previstas por el </w:t>
      </w:r>
      <w:hyperlink r:id="rId7" w:tooltip="Estatuto Tributario CETA" w:history="1">
        <w:r w:rsidRPr="00C57E78">
          <w:rPr>
            <w:rFonts w:ascii="Segoe UI" w:eastAsia="Times New Roman" w:hAnsi="Segoe UI" w:cs="Segoe UI"/>
            <w:color w:val="0645AD"/>
            <w:kern w:val="0"/>
            <w:szCs w:val="24"/>
            <w:u w:val="single"/>
            <w:lang w:eastAsia="es-CO"/>
            <w14:ligatures w14:val="none"/>
          </w:rPr>
          <w:t>artículo 126-1</w:t>
        </w:r>
      </w:hyperlink>
      <w:r w:rsidRPr="00C57E78">
        <w:rPr>
          <w:rFonts w:ascii="Segoe UI" w:eastAsia="Times New Roman" w:hAnsi="Segoe UI" w:cs="Segoe UI"/>
          <w:color w:val="000000"/>
          <w:kern w:val="0"/>
          <w:szCs w:val="24"/>
          <w:lang w:eastAsia="es-CO"/>
          <w14:ligatures w14:val="none"/>
        </w:rPr>
        <w:t> del Estatuto Tributario, en la que pregunta si a estos deberán aplicarse las reglas de base componente inflacionario, porcentaje decretado anualmente e ingreso no constitutivo de renta ni ganancia ocasional, al considerar que dichos fondos son vigilados por la Superintendencia Financiera</w:t>
      </w:r>
    </w:p>
    <w:p w14:paraId="32938C9A"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6185CFED"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Frente a inquietud, señala este Despacho lo siguiente:</w:t>
      </w:r>
    </w:p>
    <w:p w14:paraId="6586AB16"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7A5E4BB9"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El </w:t>
      </w:r>
      <w:hyperlink r:id="rId8" w:tooltip="Estatuto Tributario CETA" w:history="1">
        <w:r w:rsidRPr="00C57E78">
          <w:rPr>
            <w:rFonts w:ascii="Segoe UI" w:eastAsia="Times New Roman" w:hAnsi="Segoe UI" w:cs="Segoe UI"/>
            <w:color w:val="0645AD"/>
            <w:kern w:val="0"/>
            <w:szCs w:val="24"/>
            <w:u w:val="single"/>
            <w:lang w:eastAsia="es-CO"/>
            <w14:ligatures w14:val="none"/>
          </w:rPr>
          <w:t>artículo 38</w:t>
        </w:r>
      </w:hyperlink>
      <w:r w:rsidRPr="00C57E78">
        <w:rPr>
          <w:rFonts w:ascii="Segoe UI" w:eastAsia="Times New Roman" w:hAnsi="Segoe UI" w:cs="Segoe UI"/>
          <w:color w:val="000000"/>
          <w:kern w:val="0"/>
          <w:szCs w:val="24"/>
          <w:lang w:eastAsia="es-CO"/>
          <w14:ligatures w14:val="none"/>
        </w:rPr>
        <w:t> del Estatuto Tributario establece que no constituye renta ni ganancia ocasional la parte que corresponda al componente inflacionario de los rendimientos financieros percibidos por personas naturales y sucesiones ilíquidas, que provengan de entidades que, estando sometidas a inspección y vigilancia de la Superintendencia Financiera, tengan por objeto propio intermediar en el mercado de recursos financieros.</w:t>
      </w:r>
    </w:p>
    <w:p w14:paraId="0E8BE528"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27E2E734"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En el caso particular de la aplicación del </w:t>
      </w:r>
      <w:hyperlink r:id="rId9" w:tooltip="Estatuto Tributario CETA" w:history="1">
        <w:r w:rsidRPr="00C57E78">
          <w:rPr>
            <w:rFonts w:ascii="Segoe UI" w:eastAsia="Times New Roman" w:hAnsi="Segoe UI" w:cs="Segoe UI"/>
            <w:color w:val="0645AD"/>
            <w:kern w:val="0"/>
            <w:szCs w:val="24"/>
            <w:u w:val="single"/>
            <w:lang w:eastAsia="es-CO"/>
            <w14:ligatures w14:val="none"/>
          </w:rPr>
          <w:t>artículo 38</w:t>
        </w:r>
      </w:hyperlink>
      <w:r w:rsidRPr="00C57E78">
        <w:rPr>
          <w:rFonts w:ascii="Segoe UI" w:eastAsia="Times New Roman" w:hAnsi="Segoe UI" w:cs="Segoe UI"/>
          <w:color w:val="000000"/>
          <w:kern w:val="0"/>
          <w:szCs w:val="24"/>
          <w:lang w:eastAsia="es-CO"/>
          <w14:ligatures w14:val="none"/>
        </w:rPr>
        <w:t> del E.T. sobre los rendimientos financieros pagados por los fondos de pensiones, ya se había pronunciado el Oficio 079037 del 15 de septiembre de 2006 así:</w:t>
      </w:r>
    </w:p>
    <w:p w14:paraId="46CC8E28"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30766D53"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i/>
          <w:iCs/>
          <w:color w:val="000000"/>
          <w:kern w:val="0"/>
          <w:szCs w:val="24"/>
          <w:lang w:eastAsia="es-CO"/>
          <w14:ligatures w14:val="none"/>
        </w:rPr>
        <w:t>(...)</w:t>
      </w:r>
      <w:r w:rsidRPr="00C57E78">
        <w:rPr>
          <w:rFonts w:ascii="Segoe UI" w:eastAsia="Times New Roman" w:hAnsi="Segoe UI" w:cs="Segoe UI"/>
          <w:color w:val="000000"/>
          <w:kern w:val="0"/>
          <w:szCs w:val="24"/>
          <w:lang w:eastAsia="es-CO"/>
          <w14:ligatures w14:val="none"/>
        </w:rPr>
        <w:t> dado que los fondos de pensiones, no tienen por objeto propio intermediar en el mercado de recursos financieros, como lo exige el literal a) de los artículos </w:t>
      </w:r>
      <w:hyperlink r:id="rId10" w:tooltip="Estatuto Tributario CETA" w:history="1">
        <w:r w:rsidRPr="00C57E78">
          <w:rPr>
            <w:rFonts w:ascii="Segoe UI" w:eastAsia="Times New Roman" w:hAnsi="Segoe UI" w:cs="Segoe UI"/>
            <w:color w:val="0645AD"/>
            <w:kern w:val="0"/>
            <w:szCs w:val="24"/>
            <w:u w:val="single"/>
            <w:lang w:eastAsia="es-CO"/>
            <w14:ligatures w14:val="none"/>
          </w:rPr>
          <w:t>38</w:t>
        </w:r>
      </w:hyperlink>
      <w:r w:rsidRPr="00C57E78">
        <w:rPr>
          <w:rFonts w:ascii="Segoe UI" w:eastAsia="Times New Roman" w:hAnsi="Segoe UI" w:cs="Segoe UI"/>
          <w:color w:val="000000"/>
          <w:kern w:val="0"/>
          <w:szCs w:val="24"/>
          <w:lang w:eastAsia="es-CO"/>
          <w14:ligatures w14:val="none"/>
        </w:rPr>
        <w:t> y </w:t>
      </w:r>
      <w:hyperlink r:id="rId11" w:tooltip="Estatuto Tributario CETA" w:history="1">
        <w:r w:rsidRPr="00C57E78">
          <w:rPr>
            <w:rFonts w:ascii="Segoe UI" w:eastAsia="Times New Roman" w:hAnsi="Segoe UI" w:cs="Segoe UI"/>
            <w:color w:val="0645AD"/>
            <w:kern w:val="0"/>
            <w:szCs w:val="24"/>
            <w:u w:val="single"/>
            <w:lang w:eastAsia="es-CO"/>
            <w14:ligatures w14:val="none"/>
          </w:rPr>
          <w:t>39</w:t>
        </w:r>
      </w:hyperlink>
      <w:r w:rsidRPr="00C57E78">
        <w:rPr>
          <w:rFonts w:ascii="Segoe UI" w:eastAsia="Times New Roman" w:hAnsi="Segoe UI" w:cs="Segoe UI"/>
          <w:color w:val="000000"/>
          <w:kern w:val="0"/>
          <w:szCs w:val="24"/>
          <w:lang w:eastAsia="es-CO"/>
          <w14:ligatures w14:val="none"/>
        </w:rPr>
        <w:t xml:space="preserve"> del Estatuto Tributario, ni los ingresos financieros percibidos por personas naturales como consecuencia de retiros contingentes de aportes de dichos fondos antes del plazo señalado en la ley tampoco son considerados como no constitutivos de renta ni ganancia ocasional de acuerdo al literal primero del artículo 40 </w:t>
      </w:r>
      <w:proofErr w:type="spellStart"/>
      <w:r w:rsidRPr="00C57E78">
        <w:rPr>
          <w:rFonts w:ascii="Segoe UI" w:eastAsia="Times New Roman" w:hAnsi="Segoe UI" w:cs="Segoe UI"/>
          <w:color w:val="000000"/>
          <w:kern w:val="0"/>
          <w:szCs w:val="24"/>
          <w:lang w:eastAsia="es-CO"/>
          <w14:ligatures w14:val="none"/>
        </w:rPr>
        <w:t>ibídem</w:t>
      </w:r>
      <w:proofErr w:type="spellEnd"/>
      <w:r w:rsidRPr="00C57E78">
        <w:rPr>
          <w:rFonts w:ascii="Segoe UI" w:eastAsia="Times New Roman" w:hAnsi="Segoe UI" w:cs="Segoe UI"/>
          <w:color w:val="000000"/>
          <w:kern w:val="0"/>
          <w:szCs w:val="24"/>
          <w:lang w:eastAsia="es-CO"/>
          <w14:ligatures w14:val="none"/>
        </w:rPr>
        <w:t>; es improcedente la deducción del componente inflacionario de tales ingresos para efectos de retención en la fuente o del impuesto sobre la renta.</w:t>
      </w:r>
    </w:p>
    <w:p w14:paraId="4A4CC5FE"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7E548DFE" w14:textId="77777777" w:rsidR="00C57E78" w:rsidRPr="00C57E78" w:rsidRDefault="00C57E78" w:rsidP="00C57E78">
      <w:pPr>
        <w:spacing w:after="0" w:line="240" w:lineRule="auto"/>
        <w:jc w:val="both"/>
        <w:rPr>
          <w:rFonts w:ascii="Segoe UI" w:eastAsia="Times New Roman" w:hAnsi="Segoe UI" w:cs="Segoe UI"/>
          <w:b/>
          <w:bCs/>
          <w:color w:val="000000"/>
          <w:kern w:val="0"/>
          <w:szCs w:val="24"/>
          <w:lang w:eastAsia="es-CO"/>
          <w14:ligatures w14:val="none"/>
        </w:rPr>
      </w:pPr>
      <w:r w:rsidRPr="00C57E78">
        <w:rPr>
          <w:rFonts w:ascii="Segoe UI" w:eastAsia="Times New Roman" w:hAnsi="Segoe UI" w:cs="Segoe UI"/>
          <w:b/>
          <w:bCs/>
          <w:color w:val="000000"/>
          <w:kern w:val="0"/>
          <w:szCs w:val="24"/>
          <w:lang w:eastAsia="es-CO"/>
          <w14:ligatures w14:val="none"/>
        </w:rPr>
        <w:lastRenderedPageBreak/>
        <w:t>Posición que se mantuvo y complemento mediante el Oficio 020344 del 28 de febrero de 2008:</w:t>
      </w:r>
    </w:p>
    <w:p w14:paraId="0CD8389F"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5E00DC3D"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Dentro de los requisitos que prevén los artículos </w:t>
      </w:r>
      <w:hyperlink r:id="rId12" w:tooltip="Estatuto Tributario CETA" w:history="1">
        <w:r w:rsidRPr="00C57E78">
          <w:rPr>
            <w:rFonts w:ascii="Segoe UI" w:eastAsia="Times New Roman" w:hAnsi="Segoe UI" w:cs="Segoe UI"/>
            <w:color w:val="0645AD"/>
            <w:kern w:val="0"/>
            <w:szCs w:val="24"/>
            <w:u w:val="single"/>
            <w:lang w:eastAsia="es-CO"/>
            <w14:ligatures w14:val="none"/>
          </w:rPr>
          <w:t>38</w:t>
        </w:r>
      </w:hyperlink>
      <w:r w:rsidRPr="00C57E78">
        <w:rPr>
          <w:rFonts w:ascii="Segoe UI" w:eastAsia="Times New Roman" w:hAnsi="Segoe UI" w:cs="Segoe UI"/>
          <w:color w:val="000000"/>
          <w:kern w:val="0"/>
          <w:szCs w:val="24"/>
          <w:lang w:eastAsia="es-CO"/>
          <w14:ligatures w14:val="none"/>
        </w:rPr>
        <w:t> y </w:t>
      </w:r>
      <w:hyperlink r:id="rId13" w:tooltip="Estatuto Tributario CETA" w:history="1">
        <w:r w:rsidRPr="00C57E78">
          <w:rPr>
            <w:rFonts w:ascii="Segoe UI" w:eastAsia="Times New Roman" w:hAnsi="Segoe UI" w:cs="Segoe UI"/>
            <w:color w:val="0645AD"/>
            <w:kern w:val="0"/>
            <w:szCs w:val="24"/>
            <w:u w:val="single"/>
            <w:lang w:eastAsia="es-CO"/>
            <w14:ligatures w14:val="none"/>
          </w:rPr>
          <w:t>39</w:t>
        </w:r>
      </w:hyperlink>
      <w:r w:rsidRPr="00C57E78">
        <w:rPr>
          <w:rFonts w:ascii="Segoe UI" w:eastAsia="Times New Roman" w:hAnsi="Segoe UI" w:cs="Segoe UI"/>
          <w:color w:val="000000"/>
          <w:kern w:val="0"/>
          <w:szCs w:val="24"/>
          <w:lang w:eastAsia="es-CO"/>
          <w14:ligatures w14:val="none"/>
        </w:rPr>
        <w:t> del Estatuto Tributario para que el componente inflacionario de los rendimientos financieros percibidos por personas naturales y sucesiones ilíquidas y el valor de las utilidades que los fondos mutuos de inversión, los fondos de inversión y los fondos de valores distribuyan o abonen en cuenta a sus afiliados en la parte correspondiente a los rendimientos sea considerado un ingreso no constitutivo de renta ni ganancia ocasional en la parte que corresponda al componente inflacionario, se encuentra que el origen de los rendimientos provenga de entidades cuyo objeto propio sea el de intermediar en el mercado de recursos financieros y se encuentren sometidas a inspección y vigilancia por la Superintendencia Financiera.</w:t>
      </w:r>
    </w:p>
    <w:p w14:paraId="620DFE01"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4DD65124"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Por objeto propio para el caso en estudio, se entiende aquel que justifica la existencia del ente económico, que tratándose de los fondos de pensiones se encuentra circunscrito a cumplir los planes de pensiones para garantizar a la población el amparo contra las contingencias derivadas de la vejez, la invalidez y la muerte, mediante el reconocimiento de las pensiones y prestaciones que determina el sistema general de seguridad social, así como propender por la ampliación progresiva de cobertura a los segmentos de población no cubiertos con un sistema de pensiones, conforme lo dispone el artículo 10 de la Ley 100 de 1993.</w:t>
      </w:r>
    </w:p>
    <w:p w14:paraId="31F3B7AF"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6DDA73BC"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w:t>
      </w:r>
    </w:p>
    <w:p w14:paraId="7096F838"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6ABD5F2C"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Conforme con lo expuesto y atendiendo su naturaleza y objeto, no es procedente como se pretende, ubicar a los fondos de pensiones como entidades financieras vigiladas por la Superintendencia Financiera cuyo objeto propio es la intermediación en el mercado de recursos financieros, y en consecuencia tampoco es posible asimilar el tratamiento de los rendimientos de los fondos de pensiones, a los rendimientos financieros y utilidades que distribuyen o abonan a personas naturales y sucesiones ilíquidas afiliados o participes los fondos de inversión, mutuos de inversión y de valores, situación que conlleva, que a los rendimientos financieros que provengan de los fondos de pensiones no sea posible aplicarles el tratamiento previsto en los artículos </w:t>
      </w:r>
      <w:hyperlink r:id="rId14" w:tooltip="Estatuto Tributario CETA" w:history="1">
        <w:r w:rsidRPr="00C57E78">
          <w:rPr>
            <w:rFonts w:ascii="Segoe UI" w:eastAsia="Times New Roman" w:hAnsi="Segoe UI" w:cs="Segoe UI"/>
            <w:color w:val="0645AD"/>
            <w:kern w:val="0"/>
            <w:szCs w:val="24"/>
            <w:u w:val="single"/>
            <w:lang w:eastAsia="es-CO"/>
            <w14:ligatures w14:val="none"/>
          </w:rPr>
          <w:t>38</w:t>
        </w:r>
      </w:hyperlink>
      <w:r w:rsidRPr="00C57E78">
        <w:rPr>
          <w:rFonts w:ascii="Segoe UI" w:eastAsia="Times New Roman" w:hAnsi="Segoe UI" w:cs="Segoe UI"/>
          <w:color w:val="000000"/>
          <w:kern w:val="0"/>
          <w:szCs w:val="24"/>
          <w:lang w:eastAsia="es-CO"/>
          <w14:ligatures w14:val="none"/>
        </w:rPr>
        <w:t> y </w:t>
      </w:r>
      <w:hyperlink r:id="rId15" w:tooltip="Estatuto Tributario CETA" w:history="1">
        <w:r w:rsidRPr="00C57E78">
          <w:rPr>
            <w:rFonts w:ascii="Segoe UI" w:eastAsia="Times New Roman" w:hAnsi="Segoe UI" w:cs="Segoe UI"/>
            <w:color w:val="0645AD"/>
            <w:kern w:val="0"/>
            <w:szCs w:val="24"/>
            <w:u w:val="single"/>
            <w:lang w:eastAsia="es-CO"/>
            <w14:ligatures w14:val="none"/>
          </w:rPr>
          <w:t>39</w:t>
        </w:r>
      </w:hyperlink>
      <w:r w:rsidRPr="00C57E78">
        <w:rPr>
          <w:rFonts w:ascii="Segoe UI" w:eastAsia="Times New Roman" w:hAnsi="Segoe UI" w:cs="Segoe UI"/>
          <w:color w:val="000000"/>
          <w:kern w:val="0"/>
          <w:szCs w:val="24"/>
          <w:lang w:eastAsia="es-CO"/>
          <w14:ligatures w14:val="none"/>
        </w:rPr>
        <w:t> del Estatuto Tributario.</w:t>
      </w:r>
    </w:p>
    <w:p w14:paraId="7DF90B4C"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56336D87" w14:textId="77777777" w:rsidR="00C57E78" w:rsidRPr="00C57E78" w:rsidRDefault="00C57E78" w:rsidP="00C57E78">
      <w:pPr>
        <w:spacing w:after="0" w:line="240" w:lineRule="auto"/>
        <w:jc w:val="both"/>
        <w:rPr>
          <w:rFonts w:ascii="Segoe UI" w:eastAsia="Times New Roman" w:hAnsi="Segoe UI" w:cs="Segoe UI"/>
          <w:b/>
          <w:bCs/>
          <w:color w:val="000000"/>
          <w:kern w:val="0"/>
          <w:szCs w:val="24"/>
          <w:lang w:eastAsia="es-CO"/>
          <w14:ligatures w14:val="none"/>
        </w:rPr>
      </w:pPr>
      <w:r w:rsidRPr="00C57E78">
        <w:rPr>
          <w:rFonts w:ascii="Segoe UI" w:eastAsia="Times New Roman" w:hAnsi="Segoe UI" w:cs="Segoe UI"/>
          <w:b/>
          <w:bCs/>
          <w:color w:val="000000"/>
          <w:kern w:val="0"/>
          <w:szCs w:val="24"/>
          <w:lang w:eastAsia="es-CO"/>
          <w14:ligatures w14:val="none"/>
        </w:rPr>
        <w:t>Ratificado por el oficio 014881 del 20 de marzo de 2009 al concluir:</w:t>
      </w:r>
    </w:p>
    <w:p w14:paraId="0DFDA4E5" w14:textId="77777777" w:rsidR="00C57E78" w:rsidRPr="00C57E78" w:rsidRDefault="00C57E78" w:rsidP="00C57E78">
      <w:pPr>
        <w:spacing w:after="0" w:line="240" w:lineRule="auto"/>
        <w:jc w:val="both"/>
        <w:rPr>
          <w:rFonts w:ascii="Segoe UI" w:eastAsia="Times New Roman" w:hAnsi="Segoe UI" w:cs="Segoe UI"/>
          <w:b/>
          <w:bCs/>
          <w:color w:val="000000"/>
          <w:kern w:val="0"/>
          <w:szCs w:val="24"/>
          <w:lang w:eastAsia="es-CO"/>
          <w14:ligatures w14:val="none"/>
        </w:rPr>
      </w:pPr>
      <w:r w:rsidRPr="00C57E78">
        <w:rPr>
          <w:rFonts w:ascii="Segoe UI" w:eastAsia="Times New Roman" w:hAnsi="Segoe UI" w:cs="Segoe UI"/>
          <w:b/>
          <w:bCs/>
          <w:color w:val="000000"/>
          <w:kern w:val="0"/>
          <w:szCs w:val="24"/>
          <w:lang w:eastAsia="es-CO"/>
          <w14:ligatures w14:val="none"/>
        </w:rPr>
        <w:t> </w:t>
      </w:r>
    </w:p>
    <w:p w14:paraId="56AB984B"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No sobra precisar, que tanto la norma tributaria como los pronunciamientos de este despacho, al referirse al “objeto propio” de los fondos de pensiones y cesantías, no hacen relación a las actividades u operaciones a las que están autorizadas las sociedades, sino al objeto principal o esencial que justifica la existencia del ente económico, el cual como se ha advertido, no consiste en “la intermediación en el mercado público de valores” definidas en la Resolución 400 de la Superfinanciera y el decreto 1121 de abril 11 de 2008, sino en el cumplimiento de los planes de pensiones de jubilación e invalidez.</w:t>
      </w:r>
    </w:p>
    <w:p w14:paraId="0FFE4A71"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297A98AF"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El segundo inciso del artículo primero (1o) del decreto 656 de 1994, que regula la actividad de los Fondos de pensiones señala:</w:t>
      </w:r>
    </w:p>
    <w:p w14:paraId="5F403DED"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3E948A75"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 . .</w:t>
      </w:r>
    </w:p>
    <w:p w14:paraId="639090C7"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lastRenderedPageBreak/>
        <w:t>Las Sociedades Administradoras de Fondos de Pensiones deberán constituirse bajo la forma de sociedades anónimas o entidades cooperativas y tendrán por objeto exclusivo la administración y manejo de fondos y planes de pensiones del Régimen de Ahorro Individual con Solidaridad, según lo que al efecto dispongan las normas pertinentes</w:t>
      </w:r>
      <w:proofErr w:type="gramStart"/>
      <w:r w:rsidRPr="00C57E78">
        <w:rPr>
          <w:rFonts w:ascii="Segoe UI" w:eastAsia="Times New Roman" w:hAnsi="Segoe UI" w:cs="Segoe UI"/>
          <w:color w:val="000000"/>
          <w:kern w:val="0"/>
          <w:szCs w:val="24"/>
          <w:lang w:eastAsia="es-CO"/>
          <w14:ligatures w14:val="none"/>
        </w:rPr>
        <w:t>. . . .</w:t>
      </w:r>
      <w:proofErr w:type="gramEnd"/>
      <w:r w:rsidRPr="00C57E78">
        <w:rPr>
          <w:rFonts w:ascii="Segoe UI" w:eastAsia="Times New Roman" w:hAnsi="Segoe UI" w:cs="Segoe UI"/>
          <w:color w:val="000000"/>
          <w:kern w:val="0"/>
          <w:szCs w:val="24"/>
          <w:lang w:eastAsia="es-CO"/>
          <w14:ligatures w14:val="none"/>
        </w:rPr>
        <w:t>/”</w:t>
      </w:r>
    </w:p>
    <w:p w14:paraId="3C0F202C"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2B5217D2"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xml:space="preserve">De esta manera, las administradoras de pensiones tienen por objeto propio la administración y manejo de esos fondos; otra cosa es </w:t>
      </w:r>
      <w:proofErr w:type="gramStart"/>
      <w:r w:rsidRPr="00C57E78">
        <w:rPr>
          <w:rFonts w:ascii="Segoe UI" w:eastAsia="Times New Roman" w:hAnsi="Segoe UI" w:cs="Segoe UI"/>
          <w:color w:val="000000"/>
          <w:kern w:val="0"/>
          <w:szCs w:val="24"/>
          <w:lang w:eastAsia="es-CO"/>
          <w14:ligatures w14:val="none"/>
        </w:rPr>
        <w:t>que</w:t>
      </w:r>
      <w:proofErr w:type="gramEnd"/>
      <w:r w:rsidRPr="00C57E78">
        <w:rPr>
          <w:rFonts w:ascii="Segoe UI" w:eastAsia="Times New Roman" w:hAnsi="Segoe UI" w:cs="Segoe UI"/>
          <w:color w:val="000000"/>
          <w:kern w:val="0"/>
          <w:szCs w:val="24"/>
          <w:lang w:eastAsia="es-CO"/>
          <w14:ligatures w14:val="none"/>
        </w:rPr>
        <w:t xml:space="preserve"> con el fin de garantizar la seguridad, rentabilidad y liquidez de los recursos del sistema, deban invertirlos en las condiciones, términos y límites que para el efecto establezca el gobierno nacional a través de las directrices dadas por la Superintendencia Bancaria (Hoy Superintendencia Financiera).</w:t>
      </w:r>
    </w:p>
    <w:p w14:paraId="076892FB"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51DB69CB"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Si bien la doctrina citada hace referencia en general a los fondos de pensiones y a sus entidades administradoras, considera este Despacho que la misma posición interpretativa es aplicable para los rendimientos financieros recibidos de los Fondos Voluntarios de Pensión</w:t>
      </w:r>
      <w:hyperlink r:id="rId16" w:anchor="cite_note-3" w:history="1">
        <w:r w:rsidRPr="00C57E78">
          <w:rPr>
            <w:rFonts w:ascii="Segoe UI" w:eastAsia="Times New Roman" w:hAnsi="Segoe UI" w:cs="Segoe UI"/>
            <w:color w:val="0645AD"/>
            <w:kern w:val="0"/>
            <w:szCs w:val="24"/>
            <w:u w:val="single"/>
            <w:vertAlign w:val="superscript"/>
            <w:lang w:eastAsia="es-CO"/>
            <w14:ligatures w14:val="none"/>
          </w:rPr>
          <w:t>3</w:t>
        </w:r>
      </w:hyperlink>
      <w:r w:rsidRPr="00C57E78">
        <w:rPr>
          <w:rFonts w:ascii="Segoe UI" w:eastAsia="Times New Roman" w:hAnsi="Segoe UI" w:cs="Segoe UI"/>
          <w:color w:val="000000"/>
          <w:kern w:val="0"/>
          <w:szCs w:val="24"/>
          <w:lang w:eastAsia="es-CO"/>
          <w14:ligatures w14:val="none"/>
        </w:rPr>
        <w:t>, en la medida en que el fondo propiamente dicho no tiene la calidad de entidad financiera, ni sus entidades administradoras tienen como objeto propio la intermediación de recursos financieros, tal como se expone a continuación:</w:t>
      </w:r>
    </w:p>
    <w:p w14:paraId="69767CF1"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01A40E7C" w14:textId="77777777" w:rsidR="00C57E78" w:rsidRPr="00C57E78" w:rsidRDefault="00C57E78" w:rsidP="00C57E78">
      <w:pPr>
        <w:numPr>
          <w:ilvl w:val="0"/>
          <w:numId w:val="4"/>
        </w:numPr>
        <w:spacing w:before="100" w:beforeAutospacing="1" w:after="100" w:afterAutospacing="1" w:line="240" w:lineRule="auto"/>
        <w:ind w:left="1004" w:firstLine="0"/>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Frente a las </w:t>
      </w:r>
      <w:r w:rsidRPr="00C57E78">
        <w:rPr>
          <w:rFonts w:ascii="Segoe UI" w:eastAsia="Times New Roman" w:hAnsi="Segoe UI" w:cs="Segoe UI"/>
          <w:b/>
          <w:bCs/>
          <w:color w:val="000000"/>
          <w:kern w:val="0"/>
          <w:szCs w:val="24"/>
          <w:lang w:eastAsia="es-CO"/>
          <w14:ligatures w14:val="none"/>
        </w:rPr>
        <w:t>entidades administradoras</w:t>
      </w:r>
      <w:r w:rsidRPr="00C57E78">
        <w:rPr>
          <w:rFonts w:ascii="Segoe UI" w:eastAsia="Times New Roman" w:hAnsi="Segoe UI" w:cs="Segoe UI"/>
          <w:color w:val="000000"/>
          <w:kern w:val="0"/>
          <w:szCs w:val="24"/>
          <w:lang w:eastAsia="es-CO"/>
          <w14:ligatures w14:val="none"/>
        </w:rPr>
        <w:t>, vale la pena señalar que los Fondos Voluntarios de Pensión pueden ser administrados por</w:t>
      </w:r>
      <w:hyperlink r:id="rId17" w:anchor="cite_note-4" w:history="1">
        <w:r w:rsidRPr="00C57E78">
          <w:rPr>
            <w:rFonts w:ascii="Segoe UI" w:eastAsia="Times New Roman" w:hAnsi="Segoe UI" w:cs="Segoe UI"/>
            <w:color w:val="0645AD"/>
            <w:kern w:val="0"/>
            <w:szCs w:val="24"/>
            <w:u w:val="single"/>
            <w:vertAlign w:val="superscript"/>
            <w:lang w:eastAsia="es-CO"/>
            <w14:ligatures w14:val="none"/>
          </w:rPr>
          <w:t>4</w:t>
        </w:r>
      </w:hyperlink>
      <w:r w:rsidRPr="00C57E78">
        <w:rPr>
          <w:rFonts w:ascii="Segoe UI" w:eastAsia="Times New Roman" w:hAnsi="Segoe UI" w:cs="Segoe UI"/>
          <w:color w:val="000000"/>
          <w:kern w:val="0"/>
          <w:szCs w:val="24"/>
          <w:lang w:eastAsia="es-CO"/>
          <w14:ligatures w14:val="none"/>
        </w:rPr>
        <w:t>: sociedades fiduciarias, sociedades administradoras de fondos de pensiones y de cesantías, y compañías de seguros, entidades que en efecto están sometidas a inspección y vigilancia de la Superintendencia Financiera, pero no tienen por objeto propio intermediar en el mercado de recursos financieros, es decir realizar intermediación financiera.</w:t>
      </w:r>
    </w:p>
    <w:p w14:paraId="0DCC51DD"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726D4235"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En ese sentido, la Superintendencia Financiera mediante Concepto 2006056363-002 del 8 de noviembre de 2006 indicó que la intermediación financiera es:</w:t>
      </w:r>
    </w:p>
    <w:p w14:paraId="6491D610"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49CE0E23" w14:textId="77777777" w:rsidR="00C57E78" w:rsidRPr="00C57E78" w:rsidRDefault="00C57E78" w:rsidP="00C57E78">
      <w:pPr>
        <w:spacing w:after="0" w:line="240" w:lineRule="auto"/>
        <w:ind w:left="284"/>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…una actividad sometida a control de este Organismo, ya que es propia de las instituciones vigiladas, y se entiende como la captación profesional de recursos de público mediante operaciones pasivas (recepción de depósitos), y a su vez la transferencia de dichos recursos mediante la realización de operaciones activa (otorgamiento de créditos), gestión que por su naturaleza requiere autorización administrativa.</w:t>
      </w:r>
    </w:p>
    <w:p w14:paraId="010124E4"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23F0FFF1"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En el mismo concepto también señaló que los únicos tipos de entidades financieras autorizadas para captar ahorro del público y otorgar créditos son los establecimientos de crédito, de los cuales hacen parte los establecimientos bancarios, las corporaciones financieras, las compañías de financiamiento comercial y las cooperativas financieras</w:t>
      </w:r>
      <w:hyperlink r:id="rId18" w:anchor="cite_note-5" w:history="1">
        <w:r w:rsidRPr="00C57E78">
          <w:rPr>
            <w:rFonts w:ascii="Segoe UI" w:eastAsia="Times New Roman" w:hAnsi="Segoe UI" w:cs="Segoe UI"/>
            <w:color w:val="0645AD"/>
            <w:kern w:val="0"/>
            <w:szCs w:val="24"/>
            <w:u w:val="single"/>
            <w:vertAlign w:val="superscript"/>
            <w:lang w:eastAsia="es-CO"/>
            <w14:ligatures w14:val="none"/>
          </w:rPr>
          <w:t>5</w:t>
        </w:r>
      </w:hyperlink>
      <w:r w:rsidRPr="00C57E78">
        <w:rPr>
          <w:rFonts w:ascii="Segoe UI" w:eastAsia="Times New Roman" w:hAnsi="Segoe UI" w:cs="Segoe UI"/>
          <w:color w:val="000000"/>
          <w:kern w:val="0"/>
          <w:szCs w:val="24"/>
          <w:lang w:eastAsia="es-CO"/>
          <w14:ligatures w14:val="none"/>
        </w:rPr>
        <w:t>, cuya naturaleza y objeto es distinto al de las sociedades fiduciarias, sociedades administradoras de fondos de pensiones y de cesantías, y compañías de seguros.</w:t>
      </w:r>
    </w:p>
    <w:p w14:paraId="6F979478" w14:textId="77777777" w:rsidR="00C57E78" w:rsidRPr="00C57E78" w:rsidRDefault="00C57E78" w:rsidP="00C57E78">
      <w:pPr>
        <w:spacing w:after="0" w:line="240" w:lineRule="auto"/>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 </w:t>
      </w:r>
    </w:p>
    <w:p w14:paraId="2527B5B8" w14:textId="77777777" w:rsidR="00C57E78" w:rsidRPr="00C57E78" w:rsidRDefault="00C57E78" w:rsidP="00C57E78">
      <w:pPr>
        <w:numPr>
          <w:ilvl w:val="0"/>
          <w:numId w:val="5"/>
        </w:numPr>
        <w:spacing w:before="100" w:beforeAutospacing="1" w:after="100" w:afterAutospacing="1" w:line="240" w:lineRule="auto"/>
        <w:ind w:left="1004" w:firstLine="0"/>
        <w:jc w:val="both"/>
        <w:rPr>
          <w:rFonts w:ascii="Segoe UI" w:eastAsia="Times New Roman" w:hAnsi="Segoe UI" w:cs="Segoe UI"/>
          <w:color w:val="000000"/>
          <w:kern w:val="0"/>
          <w:szCs w:val="24"/>
          <w:lang w:eastAsia="es-CO"/>
          <w14:ligatures w14:val="none"/>
        </w:rPr>
      </w:pPr>
      <w:r w:rsidRPr="00C57E78">
        <w:rPr>
          <w:rFonts w:ascii="Segoe UI" w:eastAsia="Times New Roman" w:hAnsi="Segoe UI" w:cs="Segoe UI"/>
          <w:color w:val="000000"/>
          <w:kern w:val="0"/>
          <w:szCs w:val="24"/>
          <w:lang w:eastAsia="es-CO"/>
          <w14:ligatures w14:val="none"/>
        </w:rPr>
        <w:t>Respecto a los </w:t>
      </w:r>
      <w:r w:rsidRPr="00C57E78">
        <w:rPr>
          <w:rFonts w:ascii="Segoe UI" w:eastAsia="Times New Roman" w:hAnsi="Segoe UI" w:cs="Segoe UI"/>
          <w:b/>
          <w:bCs/>
          <w:color w:val="000000"/>
          <w:kern w:val="0"/>
          <w:szCs w:val="24"/>
          <w:lang w:eastAsia="es-CO"/>
          <w14:ligatures w14:val="none"/>
        </w:rPr>
        <w:t>Fondos de Voluntarios de Pensión (sic)</w:t>
      </w:r>
      <w:r w:rsidRPr="00C57E78">
        <w:rPr>
          <w:rFonts w:ascii="Segoe UI" w:eastAsia="Times New Roman" w:hAnsi="Segoe UI" w:cs="Segoe UI"/>
          <w:color w:val="000000"/>
          <w:kern w:val="0"/>
          <w:szCs w:val="24"/>
          <w:lang w:eastAsia="es-CO"/>
          <w14:ligatures w14:val="none"/>
        </w:rPr>
        <w:t xml:space="preserve">, estos corresponden a un mecanismo o vehículo de captación o administración de sumas de dinero u otros activos, integrado con los aportes de los partícipes y </w:t>
      </w:r>
      <w:r w:rsidRPr="00C57E78">
        <w:rPr>
          <w:rFonts w:ascii="Segoe UI" w:eastAsia="Times New Roman" w:hAnsi="Segoe UI" w:cs="Segoe UI"/>
          <w:color w:val="000000"/>
          <w:kern w:val="0"/>
          <w:szCs w:val="24"/>
          <w:lang w:eastAsia="es-CO"/>
          <w14:ligatures w14:val="none"/>
        </w:rPr>
        <w:lastRenderedPageBreak/>
        <w:t>patrocinadores del mismo y sus rendimientos, para ser gestionados de manera colectiva y obtener resultados económicos colectivos, con el fin cumplir uno o varios planes de pensiones de jubilación e invalidez, los cuales podrán ser administrados y gestionados por las entidades autorizadas a través de alternativas de inversión y portafolios</w:t>
      </w:r>
      <w:hyperlink r:id="rId19" w:anchor="cite_note-6" w:history="1">
        <w:r w:rsidRPr="00C57E78">
          <w:rPr>
            <w:rFonts w:ascii="Segoe UI" w:eastAsia="Times New Roman" w:hAnsi="Segoe UI" w:cs="Segoe UI"/>
            <w:color w:val="0645AD"/>
            <w:kern w:val="0"/>
            <w:szCs w:val="24"/>
            <w:u w:val="single"/>
            <w:vertAlign w:val="superscript"/>
            <w:lang w:eastAsia="es-CO"/>
            <w14:ligatures w14:val="none"/>
          </w:rPr>
          <w:t>6</w:t>
        </w:r>
      </w:hyperlink>
      <w:r w:rsidRPr="00C57E78">
        <w:rPr>
          <w:rFonts w:ascii="Segoe UI" w:eastAsia="Times New Roman" w:hAnsi="Segoe UI" w:cs="Segoe UI"/>
          <w:color w:val="000000"/>
          <w:kern w:val="0"/>
          <w:szCs w:val="24"/>
          <w:lang w:eastAsia="es-CO"/>
          <w14:ligatures w14:val="none"/>
        </w:rPr>
        <w:t>.</w:t>
      </w:r>
    </w:p>
    <w:p w14:paraId="3FF5A28B" w14:textId="77777777" w:rsidR="005B1014" w:rsidRPr="00C57E78" w:rsidRDefault="005B1014" w:rsidP="005B1014">
      <w:pPr>
        <w:pStyle w:val="NormalWeb"/>
        <w:spacing w:before="0" w:beforeAutospacing="0" w:after="0" w:afterAutospacing="0"/>
        <w:jc w:val="both"/>
        <w:rPr>
          <w:rFonts w:ascii="Segoe UI" w:hAnsi="Segoe UI" w:cs="Segoe UI"/>
          <w:color w:val="000000"/>
        </w:rPr>
      </w:pPr>
    </w:p>
    <w:p w14:paraId="396CAF95" w14:textId="4D698989" w:rsidR="005B1014" w:rsidRPr="00C57E78" w:rsidRDefault="005B1014" w:rsidP="005B1014">
      <w:pPr>
        <w:pStyle w:val="NormalWeb"/>
        <w:spacing w:before="0" w:beforeAutospacing="0" w:after="0" w:afterAutospacing="0"/>
        <w:jc w:val="both"/>
        <w:rPr>
          <w:rFonts w:ascii="Segoe UI" w:hAnsi="Segoe UI" w:cs="Segoe UI"/>
          <w:b/>
          <w:bCs/>
          <w:color w:val="000000"/>
        </w:rPr>
      </w:pPr>
      <w:r w:rsidRPr="00C57E78">
        <w:rPr>
          <w:rFonts w:ascii="Segoe UI" w:hAnsi="Segoe UI" w:cs="Segoe UI"/>
          <w:b/>
          <w:bCs/>
          <w:color w:val="000000"/>
        </w:rPr>
        <w:t>Por tanto, se concluye que los Fondos de Voluntarios de Pensión (sic) no se encuentran contemplados como instituciones financieras, ni mucho menos tienen como objeto propio la intermediación de recursos financieros.</w:t>
      </w:r>
    </w:p>
    <w:p w14:paraId="1998C52B" w14:textId="77777777" w:rsidR="005B1014" w:rsidRPr="00C57E78" w:rsidRDefault="005B1014" w:rsidP="005B1014">
      <w:pPr>
        <w:pStyle w:val="NormalWeb"/>
        <w:spacing w:before="0" w:beforeAutospacing="0" w:after="0" w:afterAutospacing="0"/>
        <w:jc w:val="both"/>
        <w:rPr>
          <w:rFonts w:ascii="Segoe UI" w:hAnsi="Segoe UI" w:cs="Segoe UI"/>
          <w:b/>
          <w:bCs/>
          <w:color w:val="000000"/>
        </w:rPr>
      </w:pPr>
      <w:r w:rsidRPr="00C57E78">
        <w:rPr>
          <w:rFonts w:ascii="Segoe UI" w:hAnsi="Segoe UI" w:cs="Segoe UI"/>
          <w:b/>
          <w:bCs/>
          <w:color w:val="000000"/>
        </w:rPr>
        <w:t> </w:t>
      </w:r>
    </w:p>
    <w:p w14:paraId="14D0B487" w14:textId="77777777" w:rsidR="005B1014" w:rsidRPr="00C57E78" w:rsidRDefault="005B1014" w:rsidP="005B1014">
      <w:pPr>
        <w:pStyle w:val="NormalWeb"/>
        <w:spacing w:before="0" w:beforeAutospacing="0" w:after="0" w:afterAutospacing="0"/>
        <w:jc w:val="both"/>
        <w:rPr>
          <w:rFonts w:ascii="Segoe UI" w:hAnsi="Segoe UI" w:cs="Segoe UI"/>
          <w:color w:val="000000"/>
        </w:rPr>
      </w:pPr>
      <w:r w:rsidRPr="00C57E78">
        <w:rPr>
          <w:rFonts w:ascii="Segoe UI" w:hAnsi="Segoe UI" w:cs="Segoe UI"/>
          <w:color w:val="000000"/>
        </w:rPr>
        <w:t>Por lo anterior y en respuesta a su pregunta, resulta improcedente considerar el componente inflacionario de los rendimientos financieros recibidos de los Fondos Voluntarios de Pensión como ingreso no constitutivo de renta ni ganancia ocasional, dado que no cumple con los requisitos fijados en el literal a) del </w:t>
      </w:r>
      <w:hyperlink r:id="rId20" w:tooltip="Estatuto Tributario CETA" w:history="1">
        <w:r w:rsidRPr="00C57E78">
          <w:rPr>
            <w:rStyle w:val="Hipervnculo"/>
            <w:rFonts w:ascii="Segoe UI" w:eastAsiaTheme="majorEastAsia" w:hAnsi="Segoe UI" w:cs="Segoe UI"/>
            <w:color w:val="0645AD"/>
          </w:rPr>
          <w:t>artículo 38</w:t>
        </w:r>
      </w:hyperlink>
      <w:r w:rsidRPr="00C57E78">
        <w:rPr>
          <w:rFonts w:ascii="Segoe UI" w:hAnsi="Segoe UI" w:cs="Segoe UI"/>
          <w:color w:val="000000"/>
        </w:rPr>
        <w:t> del Estatuto Tributario. En consecuencia, tampoco hay lugar a determinar su base de cálculo, ni aplicar el porcentaje que se decreta anualmente.</w:t>
      </w:r>
    </w:p>
    <w:p w14:paraId="25AA5179" w14:textId="77777777" w:rsidR="005B1014" w:rsidRPr="00C57E78" w:rsidRDefault="005B1014" w:rsidP="005B1014">
      <w:pPr>
        <w:pStyle w:val="NormalWeb"/>
        <w:spacing w:before="0" w:beforeAutospacing="0" w:after="0" w:afterAutospacing="0"/>
        <w:jc w:val="both"/>
        <w:rPr>
          <w:rFonts w:ascii="Segoe UI" w:hAnsi="Segoe UI" w:cs="Segoe UI"/>
          <w:color w:val="000000"/>
        </w:rPr>
      </w:pPr>
      <w:r w:rsidRPr="00C57E78">
        <w:rPr>
          <w:rFonts w:ascii="Segoe UI" w:hAnsi="Segoe UI" w:cs="Segoe UI"/>
          <w:color w:val="000000"/>
        </w:rPr>
        <w:t> </w:t>
      </w:r>
    </w:p>
    <w:p w14:paraId="12044BCD" w14:textId="77777777" w:rsidR="005B1014" w:rsidRPr="00C57E78" w:rsidRDefault="005B1014" w:rsidP="005B1014">
      <w:pPr>
        <w:pStyle w:val="NormalWeb"/>
        <w:spacing w:before="0" w:beforeAutospacing="0" w:after="0" w:afterAutospacing="0"/>
        <w:jc w:val="both"/>
        <w:rPr>
          <w:rFonts w:ascii="Segoe UI" w:hAnsi="Segoe UI" w:cs="Segoe UI"/>
          <w:color w:val="000000"/>
        </w:rPr>
      </w:pPr>
      <w:r w:rsidRPr="00C57E78">
        <w:rPr>
          <w:rFonts w:ascii="Segoe UI" w:hAnsi="Segoe UI" w:cs="Segoe UI"/>
          <w:color w:val="000000"/>
        </w:rPr>
        <w:t>En los anteriores términos se absuelve su petición y se recuerda que la normativa, jurisprudencia y doctrina en materia tributaria, aduanera y de fiscalización cambiaria, en lo de competencia de esta Entidad, puede consultarse en el normograma DIAN: </w:t>
      </w:r>
      <w:hyperlink r:id="rId21" w:tgtFrame="_blank" w:history="1">
        <w:r w:rsidRPr="00C57E78">
          <w:rPr>
            <w:rStyle w:val="Hipervnculo"/>
            <w:rFonts w:ascii="Segoe UI" w:eastAsiaTheme="majorEastAsia" w:hAnsi="Segoe UI" w:cs="Segoe UI"/>
            <w:color w:val="0645AD"/>
          </w:rPr>
          <w:t>https://normograma.dian.gov.co/dian/</w:t>
        </w:r>
      </w:hyperlink>
      <w:r w:rsidRPr="00C57E78">
        <w:rPr>
          <w:rFonts w:ascii="Segoe UI" w:hAnsi="Segoe UI" w:cs="Segoe UI"/>
          <w:color w:val="000000"/>
        </w:rPr>
        <w:t>.</w:t>
      </w:r>
    </w:p>
    <w:p w14:paraId="49DCBDD4" w14:textId="77777777" w:rsidR="005B1014" w:rsidRPr="00C57E78" w:rsidRDefault="005B1014" w:rsidP="005B1014">
      <w:pPr>
        <w:pStyle w:val="NormalWeb"/>
        <w:spacing w:before="0" w:beforeAutospacing="0" w:after="0" w:afterAutospacing="0"/>
        <w:jc w:val="both"/>
        <w:rPr>
          <w:rFonts w:ascii="Segoe UI" w:hAnsi="Segoe UI" w:cs="Segoe UI"/>
          <w:color w:val="000000"/>
        </w:rPr>
      </w:pPr>
      <w:r w:rsidRPr="00C57E78">
        <w:rPr>
          <w:rFonts w:ascii="Segoe UI" w:hAnsi="Segoe UI" w:cs="Segoe UI"/>
          <w:color w:val="000000"/>
        </w:rPr>
        <w:t> </w:t>
      </w:r>
    </w:p>
    <w:p w14:paraId="346B5D5C" w14:textId="77777777" w:rsidR="005B1014" w:rsidRPr="00C57E78" w:rsidRDefault="005B1014" w:rsidP="005B1014">
      <w:pPr>
        <w:pStyle w:val="NormalWeb"/>
        <w:spacing w:before="0" w:beforeAutospacing="0" w:after="0" w:afterAutospacing="0"/>
        <w:jc w:val="both"/>
        <w:rPr>
          <w:rFonts w:ascii="Segoe UI" w:hAnsi="Segoe UI" w:cs="Segoe UI"/>
          <w:color w:val="000000"/>
        </w:rPr>
      </w:pPr>
      <w:r w:rsidRPr="00C57E78">
        <w:rPr>
          <w:rFonts w:ascii="Segoe UI" w:hAnsi="Segoe UI" w:cs="Segoe UI"/>
          <w:color w:val="000000"/>
        </w:rPr>
        <w:t>Atentamente,</w:t>
      </w:r>
    </w:p>
    <w:p w14:paraId="06033B18" w14:textId="77777777" w:rsidR="005B1014" w:rsidRPr="00C57E78" w:rsidRDefault="005B1014" w:rsidP="005B1014">
      <w:pPr>
        <w:rPr>
          <w:szCs w:val="24"/>
        </w:rPr>
      </w:pPr>
    </w:p>
    <w:p w14:paraId="561EC2F1" w14:textId="661981E2" w:rsidR="005B1014" w:rsidRPr="005B1014" w:rsidRDefault="005B1014" w:rsidP="005B1014">
      <w:pPr>
        <w:spacing w:after="0" w:line="240" w:lineRule="auto"/>
        <w:jc w:val="both"/>
        <w:rPr>
          <w:rFonts w:ascii="Segoe UI" w:eastAsia="Times New Roman" w:hAnsi="Segoe UI" w:cs="Segoe UI"/>
          <w:color w:val="000000"/>
          <w:kern w:val="0"/>
          <w:szCs w:val="24"/>
          <w:lang w:eastAsia="es-CO"/>
          <w14:ligatures w14:val="none"/>
        </w:rPr>
      </w:pPr>
      <w:r w:rsidRPr="005B1014">
        <w:rPr>
          <w:rFonts w:ascii="Segoe UI" w:eastAsia="Times New Roman" w:hAnsi="Segoe UI" w:cs="Segoe UI"/>
          <w:b/>
          <w:bCs/>
          <w:color w:val="000000"/>
          <w:kern w:val="0"/>
          <w:szCs w:val="24"/>
          <w:lang w:eastAsia="es-CO"/>
          <w14:ligatures w14:val="none"/>
        </w:rPr>
        <w:t>INGRID CASTAÑEDA CEPEDA</w:t>
      </w:r>
    </w:p>
    <w:p w14:paraId="75298518" w14:textId="77777777" w:rsidR="005B1014" w:rsidRPr="005B1014" w:rsidRDefault="005B1014" w:rsidP="005B1014">
      <w:pPr>
        <w:spacing w:after="0" w:line="240" w:lineRule="auto"/>
        <w:jc w:val="both"/>
        <w:rPr>
          <w:rFonts w:ascii="Segoe UI" w:eastAsia="Times New Roman" w:hAnsi="Segoe UI" w:cs="Segoe UI"/>
          <w:color w:val="000000"/>
          <w:kern w:val="0"/>
          <w:szCs w:val="24"/>
          <w:lang w:eastAsia="es-CO"/>
          <w14:ligatures w14:val="none"/>
        </w:rPr>
      </w:pPr>
      <w:r w:rsidRPr="005B1014">
        <w:rPr>
          <w:rFonts w:ascii="Segoe UI" w:eastAsia="Times New Roman" w:hAnsi="Segoe UI" w:cs="Segoe UI"/>
          <w:color w:val="000000"/>
          <w:kern w:val="0"/>
          <w:szCs w:val="24"/>
          <w:lang w:eastAsia="es-CO"/>
          <w14:ligatures w14:val="none"/>
        </w:rPr>
        <w:t>Subdirectora de Normativa y Doctrina (A)</w:t>
      </w:r>
    </w:p>
    <w:p w14:paraId="54E3D8FC" w14:textId="77777777" w:rsidR="005B1014" w:rsidRPr="005B1014" w:rsidRDefault="005B1014" w:rsidP="005B1014">
      <w:pPr>
        <w:spacing w:after="0" w:line="240" w:lineRule="auto"/>
        <w:jc w:val="both"/>
        <w:rPr>
          <w:rFonts w:ascii="Segoe UI" w:eastAsia="Times New Roman" w:hAnsi="Segoe UI" w:cs="Segoe UI"/>
          <w:color w:val="000000"/>
          <w:kern w:val="0"/>
          <w:szCs w:val="24"/>
          <w:lang w:eastAsia="es-CO"/>
          <w14:ligatures w14:val="none"/>
        </w:rPr>
      </w:pPr>
      <w:r w:rsidRPr="005B1014">
        <w:rPr>
          <w:rFonts w:ascii="Segoe UI" w:eastAsia="Times New Roman" w:hAnsi="Segoe UI" w:cs="Segoe UI"/>
          <w:color w:val="000000"/>
          <w:kern w:val="0"/>
          <w:szCs w:val="24"/>
          <w:lang w:eastAsia="es-CO"/>
          <w14:ligatures w14:val="none"/>
        </w:rPr>
        <w:t>Dirección de Gestión Jurídica</w:t>
      </w:r>
    </w:p>
    <w:p w14:paraId="440831B5" w14:textId="77777777" w:rsidR="005B1014" w:rsidRPr="005B1014" w:rsidRDefault="005B1014" w:rsidP="005B1014">
      <w:pPr>
        <w:spacing w:after="0" w:line="240" w:lineRule="auto"/>
        <w:jc w:val="both"/>
        <w:rPr>
          <w:rFonts w:ascii="Segoe UI" w:eastAsia="Times New Roman" w:hAnsi="Segoe UI" w:cs="Segoe UI"/>
          <w:color w:val="000000"/>
          <w:kern w:val="0"/>
          <w:szCs w:val="24"/>
          <w:lang w:eastAsia="es-CO"/>
          <w14:ligatures w14:val="none"/>
        </w:rPr>
      </w:pPr>
      <w:r w:rsidRPr="005B1014">
        <w:rPr>
          <w:rFonts w:ascii="Segoe UI" w:eastAsia="Times New Roman" w:hAnsi="Segoe UI" w:cs="Segoe UI"/>
          <w:color w:val="000000"/>
          <w:kern w:val="0"/>
          <w:szCs w:val="24"/>
          <w:lang w:eastAsia="es-CO"/>
          <w14:ligatures w14:val="none"/>
        </w:rPr>
        <w:t>U.A.E. Dirección de Impuestos y Aduanas Nacionales – DIAN</w:t>
      </w:r>
    </w:p>
    <w:p w14:paraId="0967D7C1" w14:textId="77777777" w:rsidR="005B1014" w:rsidRPr="005B1014" w:rsidRDefault="005B1014" w:rsidP="005B1014">
      <w:pPr>
        <w:spacing w:after="0" w:line="240" w:lineRule="auto"/>
        <w:jc w:val="both"/>
        <w:rPr>
          <w:rFonts w:ascii="Segoe UI" w:eastAsia="Times New Roman" w:hAnsi="Segoe UI" w:cs="Segoe UI"/>
          <w:color w:val="000000"/>
          <w:kern w:val="0"/>
          <w:szCs w:val="24"/>
          <w:lang w:eastAsia="es-CO"/>
          <w14:ligatures w14:val="none"/>
        </w:rPr>
      </w:pPr>
      <w:r w:rsidRPr="005B1014">
        <w:rPr>
          <w:rFonts w:ascii="Segoe UI" w:eastAsia="Times New Roman" w:hAnsi="Segoe UI" w:cs="Segoe UI"/>
          <w:color w:val="000000"/>
          <w:kern w:val="0"/>
          <w:szCs w:val="24"/>
          <w:lang w:eastAsia="es-CO"/>
          <w14:ligatures w14:val="none"/>
        </w:rPr>
        <w:t> </w:t>
      </w:r>
    </w:p>
    <w:p w14:paraId="6FCCC946" w14:textId="77777777" w:rsidR="005B1014" w:rsidRPr="005B1014" w:rsidRDefault="005B1014" w:rsidP="005B1014">
      <w:pPr>
        <w:spacing w:after="285" w:line="240" w:lineRule="auto"/>
        <w:jc w:val="both"/>
        <w:outlineLvl w:val="2"/>
        <w:rPr>
          <w:rFonts w:ascii="Segoe UI" w:eastAsia="Times New Roman" w:hAnsi="Segoe UI" w:cs="Segoe UI"/>
          <w:b/>
          <w:bCs/>
          <w:color w:val="000000"/>
          <w:kern w:val="0"/>
          <w:szCs w:val="24"/>
          <w:lang w:eastAsia="es-CO"/>
          <w14:ligatures w14:val="none"/>
        </w:rPr>
      </w:pPr>
      <w:r w:rsidRPr="005B1014">
        <w:rPr>
          <w:rFonts w:ascii="Segoe UI" w:eastAsia="Times New Roman" w:hAnsi="Segoe UI" w:cs="Segoe UI"/>
          <w:b/>
          <w:bCs/>
          <w:color w:val="000000"/>
          <w:kern w:val="0"/>
          <w:szCs w:val="24"/>
          <w:lang w:eastAsia="es-CO"/>
          <w14:ligatures w14:val="none"/>
        </w:rPr>
        <w:t>Notas al pie</w:t>
      </w:r>
    </w:p>
    <w:p w14:paraId="539BF3A7" w14:textId="15FEA794" w:rsidR="005B1014" w:rsidRPr="00C57E78" w:rsidRDefault="005B1014" w:rsidP="005B1014">
      <w:pPr>
        <w:rPr>
          <w:szCs w:val="24"/>
        </w:rPr>
      </w:pPr>
      <w:r w:rsidRPr="00C57E78">
        <w:rPr>
          <w:szCs w:val="24"/>
        </w:rPr>
        <w:t>___________________________________________</w:t>
      </w:r>
    </w:p>
    <w:p w14:paraId="45F06DDD" w14:textId="77777777" w:rsidR="005B1014" w:rsidRPr="005B1014" w:rsidRDefault="005B1014" w:rsidP="005B1014">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Cs w:val="24"/>
          <w:lang w:eastAsia="es-CO"/>
          <w14:ligatures w14:val="none"/>
        </w:rPr>
      </w:pPr>
      <w:hyperlink r:id="rId22" w:anchor="cite_ref-1" w:tooltip="Volver arriba" w:history="1">
        <w:r w:rsidRPr="005B1014">
          <w:rPr>
            <w:rFonts w:ascii="Segoe UI" w:eastAsia="Times New Roman" w:hAnsi="Segoe UI" w:cs="Segoe UI"/>
            <w:color w:val="0645AD"/>
            <w:kern w:val="0"/>
            <w:szCs w:val="24"/>
            <w:u w:val="single"/>
            <w:lang w:eastAsia="es-CO"/>
            <w14:ligatures w14:val="none"/>
          </w:rPr>
          <w:t>↑</w:t>
        </w:r>
      </w:hyperlink>
      <w:r w:rsidRPr="005B1014">
        <w:rPr>
          <w:rFonts w:ascii="Segoe UI" w:eastAsia="Times New Roman" w:hAnsi="Segoe UI" w:cs="Segoe UI"/>
          <w:color w:val="000000"/>
          <w:kern w:val="0"/>
          <w:szCs w:val="24"/>
          <w:lang w:eastAsia="es-CO"/>
          <w14:ligatures w14:val="none"/>
        </w:rPr>
        <w:t> De conformidad con el numeral 4 del artículo 56 del Decreto 1742 de 2020 y el artículo 7 de la Resolución DIAN 91 de 2021.</w:t>
      </w:r>
    </w:p>
    <w:p w14:paraId="33B398B1" w14:textId="77777777" w:rsidR="005B1014" w:rsidRPr="005B1014" w:rsidRDefault="005B1014" w:rsidP="005B1014">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Cs w:val="24"/>
          <w:lang w:eastAsia="es-CO"/>
          <w14:ligatures w14:val="none"/>
        </w:rPr>
      </w:pPr>
      <w:hyperlink r:id="rId23" w:anchor="cite_ref-2" w:tooltip="Volver arriba" w:history="1">
        <w:r w:rsidRPr="005B1014">
          <w:rPr>
            <w:rFonts w:ascii="Segoe UI" w:eastAsia="Times New Roman" w:hAnsi="Segoe UI" w:cs="Segoe UI"/>
            <w:color w:val="0645AD"/>
            <w:kern w:val="0"/>
            <w:szCs w:val="24"/>
            <w:u w:val="single"/>
            <w:lang w:eastAsia="es-CO"/>
            <w14:ligatures w14:val="none"/>
          </w:rPr>
          <w:t>↑</w:t>
        </w:r>
      </w:hyperlink>
      <w:r w:rsidRPr="005B1014">
        <w:rPr>
          <w:rFonts w:ascii="Segoe UI" w:eastAsia="Times New Roman" w:hAnsi="Segoe UI" w:cs="Segoe UI"/>
          <w:color w:val="000000"/>
          <w:kern w:val="0"/>
          <w:szCs w:val="24"/>
          <w:lang w:eastAsia="es-CO"/>
          <w14:ligatures w14:val="none"/>
        </w:rPr>
        <w:t> De conformidad con el numeral 1 del artículo 56 del Decreto 1742 de 2020 y el artículo 7-1 de la Resolución DIAN 91 de 2021.</w:t>
      </w:r>
    </w:p>
    <w:p w14:paraId="0BF59D3D" w14:textId="77777777" w:rsidR="005B1014" w:rsidRPr="005B1014" w:rsidRDefault="005B1014" w:rsidP="005B1014">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Cs w:val="24"/>
          <w:lang w:eastAsia="es-CO"/>
          <w14:ligatures w14:val="none"/>
        </w:rPr>
      </w:pPr>
      <w:hyperlink r:id="rId24" w:anchor="cite_ref-3" w:tooltip="Volver arriba" w:history="1">
        <w:r w:rsidRPr="005B1014">
          <w:rPr>
            <w:rFonts w:ascii="Segoe UI" w:eastAsia="Times New Roman" w:hAnsi="Segoe UI" w:cs="Segoe UI"/>
            <w:color w:val="0645AD"/>
            <w:kern w:val="0"/>
            <w:szCs w:val="24"/>
            <w:u w:val="single"/>
            <w:lang w:eastAsia="es-CO"/>
            <w14:ligatures w14:val="none"/>
          </w:rPr>
          <w:t>↑</w:t>
        </w:r>
      </w:hyperlink>
      <w:r w:rsidRPr="005B1014">
        <w:rPr>
          <w:rFonts w:ascii="Segoe UI" w:eastAsia="Times New Roman" w:hAnsi="Segoe UI" w:cs="Segoe UI"/>
          <w:color w:val="000000"/>
          <w:kern w:val="0"/>
          <w:szCs w:val="24"/>
          <w:lang w:eastAsia="es-CO"/>
          <w14:ligatures w14:val="none"/>
        </w:rPr>
        <w:t> Conforme al artículo 2.42.1.1.1. del Decreto 2555 de 2010, para todos sus efectos, en adelante los llamados fondos de pensiones de jubilación e invalidez o fondos de pensiones voluntarias, recibirán exclusivamente la denominación de Fondos Voluntarios de Pensión.</w:t>
      </w:r>
    </w:p>
    <w:p w14:paraId="689DE5F4" w14:textId="77777777" w:rsidR="005B1014" w:rsidRPr="005B1014" w:rsidRDefault="005B1014" w:rsidP="005B1014">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Cs w:val="24"/>
          <w:lang w:eastAsia="es-CO"/>
          <w14:ligatures w14:val="none"/>
        </w:rPr>
      </w:pPr>
      <w:hyperlink r:id="rId25" w:anchor="cite_ref-4" w:tooltip="Volver arriba" w:history="1">
        <w:r w:rsidRPr="005B1014">
          <w:rPr>
            <w:rFonts w:ascii="Segoe UI" w:eastAsia="Times New Roman" w:hAnsi="Segoe UI" w:cs="Segoe UI"/>
            <w:color w:val="0645AD"/>
            <w:kern w:val="0"/>
            <w:szCs w:val="24"/>
            <w:u w:val="single"/>
            <w:lang w:eastAsia="es-CO"/>
            <w14:ligatures w14:val="none"/>
          </w:rPr>
          <w:t>↑</w:t>
        </w:r>
      </w:hyperlink>
      <w:r w:rsidRPr="005B1014">
        <w:rPr>
          <w:rFonts w:ascii="Segoe UI" w:eastAsia="Times New Roman" w:hAnsi="Segoe UI" w:cs="Segoe UI"/>
          <w:color w:val="000000"/>
          <w:kern w:val="0"/>
          <w:szCs w:val="24"/>
          <w:lang w:eastAsia="es-CO"/>
          <w14:ligatures w14:val="none"/>
        </w:rPr>
        <w:t> Artículo 2.42.1.1.3 ibidem.</w:t>
      </w:r>
    </w:p>
    <w:p w14:paraId="084F92AA" w14:textId="77777777" w:rsidR="005B1014" w:rsidRPr="00C57E78" w:rsidRDefault="005B1014" w:rsidP="005B1014">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Cs w:val="24"/>
          <w:lang w:eastAsia="es-CO"/>
          <w14:ligatures w14:val="none"/>
        </w:rPr>
      </w:pPr>
      <w:hyperlink r:id="rId26" w:anchor="cite_ref-5" w:tooltip="Volver arriba" w:history="1">
        <w:r w:rsidRPr="005B1014">
          <w:rPr>
            <w:rFonts w:ascii="Segoe UI" w:eastAsia="Times New Roman" w:hAnsi="Segoe UI" w:cs="Segoe UI"/>
            <w:color w:val="0645AD"/>
            <w:kern w:val="0"/>
            <w:szCs w:val="24"/>
            <w:u w:val="single"/>
            <w:lang w:eastAsia="es-CO"/>
            <w14:ligatures w14:val="none"/>
          </w:rPr>
          <w:t>↑</w:t>
        </w:r>
      </w:hyperlink>
      <w:r w:rsidRPr="005B1014">
        <w:rPr>
          <w:rFonts w:ascii="Segoe UI" w:eastAsia="Times New Roman" w:hAnsi="Segoe UI" w:cs="Segoe UI"/>
          <w:color w:val="000000"/>
          <w:kern w:val="0"/>
          <w:szCs w:val="24"/>
          <w:lang w:eastAsia="es-CO"/>
          <w14:ligatures w14:val="none"/>
        </w:rPr>
        <w:t> Para efectos del presente oficio, solamente se señalan aquellas entidades sujetas a inspección y vigilancia por la Superintendencia Financiera</w:t>
      </w:r>
    </w:p>
    <w:p w14:paraId="3321D241" w14:textId="271FC183" w:rsidR="005B1014" w:rsidRPr="005B1014" w:rsidRDefault="005B1014" w:rsidP="005B1014">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Cs w:val="24"/>
          <w:lang w:eastAsia="es-CO"/>
          <w14:ligatures w14:val="none"/>
        </w:rPr>
      </w:pPr>
      <w:hyperlink r:id="rId27" w:anchor="cite_ref-6" w:tooltip="Volver arriba" w:history="1">
        <w:r w:rsidRPr="005B1014">
          <w:rPr>
            <w:rFonts w:ascii="Segoe UI" w:eastAsia="Times New Roman" w:hAnsi="Segoe UI" w:cs="Segoe UI"/>
            <w:color w:val="0645AD"/>
            <w:kern w:val="0"/>
            <w:szCs w:val="24"/>
            <w:u w:val="single"/>
            <w:lang w:eastAsia="es-CO"/>
            <w14:ligatures w14:val="none"/>
          </w:rPr>
          <w:t>↑</w:t>
        </w:r>
      </w:hyperlink>
      <w:r w:rsidRPr="005B1014">
        <w:rPr>
          <w:rFonts w:ascii="Segoe UI" w:eastAsia="Times New Roman" w:hAnsi="Segoe UI" w:cs="Segoe UI"/>
          <w:color w:val="000000"/>
          <w:kern w:val="0"/>
          <w:szCs w:val="24"/>
          <w:lang w:eastAsia="es-CO"/>
          <w14:ligatures w14:val="none"/>
        </w:rPr>
        <w:t> Artículo 2.42.1.1.1. del Decreto 2555 de 2010</w:t>
      </w:r>
    </w:p>
    <w:p w14:paraId="475CCE99" w14:textId="77777777" w:rsidR="005B1014" w:rsidRPr="00C57E78" w:rsidRDefault="005B1014" w:rsidP="005B1014">
      <w:pPr>
        <w:rPr>
          <w:szCs w:val="24"/>
        </w:rPr>
      </w:pPr>
    </w:p>
    <w:sectPr w:rsidR="005B1014" w:rsidRPr="00C57E7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B260E"/>
    <w:multiLevelType w:val="multilevel"/>
    <w:tmpl w:val="2A44C6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312E2"/>
    <w:multiLevelType w:val="multilevel"/>
    <w:tmpl w:val="401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D1545C"/>
    <w:multiLevelType w:val="multilevel"/>
    <w:tmpl w:val="4768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9E5F63"/>
    <w:multiLevelType w:val="multilevel"/>
    <w:tmpl w:val="6A90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083E79"/>
    <w:multiLevelType w:val="multilevel"/>
    <w:tmpl w:val="D28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5748077">
    <w:abstractNumId w:val="0"/>
  </w:num>
  <w:num w:numId="2" w16cid:durableId="1300110131">
    <w:abstractNumId w:val="3"/>
  </w:num>
  <w:num w:numId="3" w16cid:durableId="438179699">
    <w:abstractNumId w:val="2"/>
  </w:num>
  <w:num w:numId="4" w16cid:durableId="471750919">
    <w:abstractNumId w:val="4"/>
    <w:lvlOverride w:ilvl="0">
      <w:startOverride w:val="1"/>
    </w:lvlOverride>
  </w:num>
  <w:num w:numId="5" w16cid:durableId="1220019143">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14"/>
    <w:rsid w:val="000F3837"/>
    <w:rsid w:val="001E311E"/>
    <w:rsid w:val="00434AE6"/>
    <w:rsid w:val="005B1014"/>
    <w:rsid w:val="005D25EE"/>
    <w:rsid w:val="005E6061"/>
    <w:rsid w:val="007F5CC8"/>
    <w:rsid w:val="008779BE"/>
    <w:rsid w:val="008C2E57"/>
    <w:rsid w:val="00C57E78"/>
    <w:rsid w:val="00EB5ADB"/>
    <w:rsid w:val="00F97BC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0326"/>
  <w15:chartTrackingRefBased/>
  <w15:docId w15:val="{FD172E82-26F0-4077-B880-26BD77A4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1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1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10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10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B101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B10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B101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B101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B101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10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10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101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101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B101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B101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B101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B101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B101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B1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10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10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101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B1014"/>
    <w:pPr>
      <w:spacing w:before="160"/>
      <w:jc w:val="center"/>
    </w:pPr>
    <w:rPr>
      <w:i/>
      <w:iCs/>
      <w:color w:val="404040" w:themeColor="text1" w:themeTint="BF"/>
    </w:rPr>
  </w:style>
  <w:style w:type="character" w:customStyle="1" w:styleId="CitaCar">
    <w:name w:val="Cita Car"/>
    <w:basedOn w:val="Fuentedeprrafopredeter"/>
    <w:link w:val="Cita"/>
    <w:uiPriority w:val="29"/>
    <w:rsid w:val="005B1014"/>
    <w:rPr>
      <w:i/>
      <w:iCs/>
      <w:color w:val="404040" w:themeColor="text1" w:themeTint="BF"/>
    </w:rPr>
  </w:style>
  <w:style w:type="paragraph" w:styleId="Prrafodelista">
    <w:name w:val="List Paragraph"/>
    <w:basedOn w:val="Normal"/>
    <w:uiPriority w:val="34"/>
    <w:qFormat/>
    <w:rsid w:val="005B1014"/>
    <w:pPr>
      <w:ind w:left="720"/>
      <w:contextualSpacing/>
    </w:pPr>
  </w:style>
  <w:style w:type="character" w:styleId="nfasisintenso">
    <w:name w:val="Intense Emphasis"/>
    <w:basedOn w:val="Fuentedeprrafopredeter"/>
    <w:uiPriority w:val="21"/>
    <w:qFormat/>
    <w:rsid w:val="005B1014"/>
    <w:rPr>
      <w:i/>
      <w:iCs/>
      <w:color w:val="0F4761" w:themeColor="accent1" w:themeShade="BF"/>
    </w:rPr>
  </w:style>
  <w:style w:type="paragraph" w:styleId="Citadestacada">
    <w:name w:val="Intense Quote"/>
    <w:basedOn w:val="Normal"/>
    <w:next w:val="Normal"/>
    <w:link w:val="CitadestacadaCar"/>
    <w:uiPriority w:val="30"/>
    <w:qFormat/>
    <w:rsid w:val="005B1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1014"/>
    <w:rPr>
      <w:i/>
      <w:iCs/>
      <w:color w:val="0F4761" w:themeColor="accent1" w:themeShade="BF"/>
    </w:rPr>
  </w:style>
  <w:style w:type="character" w:styleId="Referenciaintensa">
    <w:name w:val="Intense Reference"/>
    <w:basedOn w:val="Fuentedeprrafopredeter"/>
    <w:uiPriority w:val="32"/>
    <w:qFormat/>
    <w:rsid w:val="005B1014"/>
    <w:rPr>
      <w:b/>
      <w:bCs/>
      <w:smallCaps/>
      <w:color w:val="0F4761" w:themeColor="accent1" w:themeShade="BF"/>
      <w:spacing w:val="5"/>
    </w:rPr>
  </w:style>
  <w:style w:type="paragraph" w:styleId="NormalWeb">
    <w:name w:val="Normal (Web)"/>
    <w:basedOn w:val="Normal"/>
    <w:uiPriority w:val="99"/>
    <w:semiHidden/>
    <w:unhideWhenUsed/>
    <w:rsid w:val="005B1014"/>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5B10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5322">
      <w:bodyDiv w:val="1"/>
      <w:marLeft w:val="0"/>
      <w:marRight w:val="0"/>
      <w:marTop w:val="0"/>
      <w:marBottom w:val="0"/>
      <w:divBdr>
        <w:top w:val="none" w:sz="0" w:space="0" w:color="auto"/>
        <w:left w:val="none" w:sz="0" w:space="0" w:color="auto"/>
        <w:bottom w:val="none" w:sz="0" w:space="0" w:color="auto"/>
        <w:right w:val="none" w:sz="0" w:space="0" w:color="auto"/>
      </w:divBdr>
    </w:div>
    <w:div w:id="95289603">
      <w:bodyDiv w:val="1"/>
      <w:marLeft w:val="0"/>
      <w:marRight w:val="0"/>
      <w:marTop w:val="0"/>
      <w:marBottom w:val="0"/>
      <w:divBdr>
        <w:top w:val="none" w:sz="0" w:space="0" w:color="auto"/>
        <w:left w:val="none" w:sz="0" w:space="0" w:color="auto"/>
        <w:bottom w:val="none" w:sz="0" w:space="0" w:color="auto"/>
        <w:right w:val="none" w:sz="0" w:space="0" w:color="auto"/>
      </w:divBdr>
    </w:div>
    <w:div w:id="501046841">
      <w:bodyDiv w:val="1"/>
      <w:marLeft w:val="0"/>
      <w:marRight w:val="0"/>
      <w:marTop w:val="0"/>
      <w:marBottom w:val="0"/>
      <w:divBdr>
        <w:top w:val="none" w:sz="0" w:space="0" w:color="auto"/>
        <w:left w:val="none" w:sz="0" w:space="0" w:color="auto"/>
        <w:bottom w:val="none" w:sz="0" w:space="0" w:color="auto"/>
        <w:right w:val="none" w:sz="0" w:space="0" w:color="auto"/>
      </w:divBdr>
    </w:div>
    <w:div w:id="848059736">
      <w:bodyDiv w:val="1"/>
      <w:marLeft w:val="0"/>
      <w:marRight w:val="0"/>
      <w:marTop w:val="0"/>
      <w:marBottom w:val="0"/>
      <w:divBdr>
        <w:top w:val="none" w:sz="0" w:space="0" w:color="auto"/>
        <w:left w:val="none" w:sz="0" w:space="0" w:color="auto"/>
        <w:bottom w:val="none" w:sz="0" w:space="0" w:color="auto"/>
        <w:right w:val="none" w:sz="0" w:space="0" w:color="auto"/>
      </w:divBdr>
    </w:div>
    <w:div w:id="1105347486">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73" TargetMode="External"/><Relationship Id="rId13" Type="http://schemas.openxmlformats.org/officeDocument/2006/relationships/hyperlink" Target="https://www.ceta.org.co/html/vista_de_un_articulo.asp?Norma=74" TargetMode="External"/><Relationship Id="rId18" Type="http://schemas.openxmlformats.org/officeDocument/2006/relationships/hyperlink" Target="https://www.ceta.org.co/html/vista_de_un_documento.asp?DocumentoID=51644" TargetMode="External"/><Relationship Id="rId26" Type="http://schemas.openxmlformats.org/officeDocument/2006/relationships/hyperlink" Target="https://www.ceta.org.co/html/vista_de_un_documento.asp?DocumentoID=51644" TargetMode="External"/><Relationship Id="rId3" Type="http://schemas.openxmlformats.org/officeDocument/2006/relationships/settings" Target="settings.xml"/><Relationship Id="rId21" Type="http://schemas.openxmlformats.org/officeDocument/2006/relationships/hyperlink" Target="https://normograma.dian.gov.co/dian/" TargetMode="External"/><Relationship Id="rId7" Type="http://schemas.openxmlformats.org/officeDocument/2006/relationships/hyperlink" Target="https://www.ceta.org.co/html/vista_de_un_articulo.asp?Norma=183" TargetMode="External"/><Relationship Id="rId12" Type="http://schemas.openxmlformats.org/officeDocument/2006/relationships/hyperlink" Target="https://www.ceta.org.co/html/vista_de_un_articulo.asp?Norma=73" TargetMode="External"/><Relationship Id="rId17" Type="http://schemas.openxmlformats.org/officeDocument/2006/relationships/hyperlink" Target="https://www.ceta.org.co/html/vista_de_un_documento.asp?DocumentoID=51644" TargetMode="External"/><Relationship Id="rId25" Type="http://schemas.openxmlformats.org/officeDocument/2006/relationships/hyperlink" Target="https://www.ceta.org.co/html/vista_de_un_documento.asp?DocumentoID=51644" TargetMode="External"/><Relationship Id="rId2" Type="http://schemas.openxmlformats.org/officeDocument/2006/relationships/styles" Target="styles.xml"/><Relationship Id="rId16" Type="http://schemas.openxmlformats.org/officeDocument/2006/relationships/hyperlink" Target="https://www.ceta.org.co/html/vista_de_un_documento.asp?DocumentoID=51644" TargetMode="External"/><Relationship Id="rId20" Type="http://schemas.openxmlformats.org/officeDocument/2006/relationships/hyperlink" Target="https://www.ceta.org.co/html/vista_de_un_articulo.asp?Norma=7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eta.org.co/html/vista_de_un_documento.asp?DocumentoID=51644" TargetMode="External"/><Relationship Id="rId11" Type="http://schemas.openxmlformats.org/officeDocument/2006/relationships/hyperlink" Target="https://www.ceta.org.co/html/vista_de_un_articulo.asp?Norma=74" TargetMode="External"/><Relationship Id="rId24" Type="http://schemas.openxmlformats.org/officeDocument/2006/relationships/hyperlink" Target="https://www.ceta.org.co/html/vista_de_un_documento.asp?DocumentoID=51644" TargetMode="External"/><Relationship Id="rId5" Type="http://schemas.openxmlformats.org/officeDocument/2006/relationships/hyperlink" Target="https://www.ceta.org.co/html/vista_de_un_documento.asp?DocumentoID=51644" TargetMode="External"/><Relationship Id="rId15" Type="http://schemas.openxmlformats.org/officeDocument/2006/relationships/hyperlink" Target="https://www.ceta.org.co/html/vista_de_un_articulo.asp?Norma=74" TargetMode="External"/><Relationship Id="rId23" Type="http://schemas.openxmlformats.org/officeDocument/2006/relationships/hyperlink" Target="https://www.ceta.org.co/html/vista_de_un_documento.asp?DocumentoID=51644" TargetMode="External"/><Relationship Id="rId28" Type="http://schemas.openxmlformats.org/officeDocument/2006/relationships/fontTable" Target="fontTable.xml"/><Relationship Id="rId10" Type="http://schemas.openxmlformats.org/officeDocument/2006/relationships/hyperlink" Target="https://www.ceta.org.co/html/vista_de_un_articulo.asp?Norma=73" TargetMode="External"/><Relationship Id="rId19" Type="http://schemas.openxmlformats.org/officeDocument/2006/relationships/hyperlink" Target="https://www.ceta.org.co/html/vista_de_un_documento.asp?DocumentoID=51644"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73" TargetMode="External"/><Relationship Id="rId14" Type="http://schemas.openxmlformats.org/officeDocument/2006/relationships/hyperlink" Target="https://www.ceta.org.co/html/vista_de_un_articulo.asp?Norma=73" TargetMode="External"/><Relationship Id="rId22" Type="http://schemas.openxmlformats.org/officeDocument/2006/relationships/hyperlink" Target="https://www.ceta.org.co/html/vista_de_un_documento.asp?DocumentoID=51644" TargetMode="External"/><Relationship Id="rId27" Type="http://schemas.openxmlformats.org/officeDocument/2006/relationships/hyperlink" Target="https://www.ceta.org.co/html/vista_de_un_documento.asp?DocumentoID=516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2061</Words>
  <Characters>11336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2</cp:revision>
  <dcterms:created xsi:type="dcterms:W3CDTF">2024-06-19T15:15:00Z</dcterms:created>
  <dcterms:modified xsi:type="dcterms:W3CDTF">2024-06-19T15:54:00Z</dcterms:modified>
</cp:coreProperties>
</file>