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76E2" w14:textId="77777777" w:rsidR="0019684B" w:rsidRPr="0019684B" w:rsidRDefault="0019684B" w:rsidP="0019684B">
      <w:pPr>
        <w:shd w:val="clear" w:color="auto" w:fill="FFFFFF"/>
        <w:spacing w:after="150" w:line="360" w:lineRule="auto"/>
        <w:jc w:val="center"/>
        <w:rPr>
          <w:rFonts w:ascii="Times New Roman" w:eastAsia="Times New Roman" w:hAnsi="Times New Roman" w:cs="Times New Roman"/>
          <w:color w:val="555555"/>
          <w:kern w:val="0"/>
          <w:sz w:val="32"/>
          <w:szCs w:val="32"/>
          <w:highlight w:val="yellow"/>
          <w:lang w:eastAsia="es-CO"/>
          <w14:ligatures w14:val="none"/>
        </w:rPr>
      </w:pPr>
      <w:r w:rsidRPr="0019684B">
        <w:rPr>
          <w:rFonts w:ascii="Times New Roman" w:eastAsia="Times New Roman" w:hAnsi="Times New Roman" w:cs="Times New Roman"/>
          <w:b/>
          <w:bCs/>
          <w:color w:val="555555"/>
          <w:kern w:val="0"/>
          <w:sz w:val="32"/>
          <w:szCs w:val="32"/>
          <w:highlight w:val="yellow"/>
          <w:lang w:eastAsia="es-CO"/>
          <w14:ligatures w14:val="none"/>
        </w:rPr>
        <w:t xml:space="preserve">CONCEPTO </w:t>
      </w:r>
      <w:proofErr w:type="spellStart"/>
      <w:r w:rsidRPr="0019684B">
        <w:rPr>
          <w:rFonts w:ascii="Times New Roman" w:eastAsia="Times New Roman" w:hAnsi="Times New Roman" w:cs="Times New Roman"/>
          <w:b/>
          <w:bCs/>
          <w:color w:val="555555"/>
          <w:kern w:val="0"/>
          <w:sz w:val="32"/>
          <w:szCs w:val="32"/>
          <w:highlight w:val="yellow"/>
          <w:lang w:eastAsia="es-CO"/>
          <w14:ligatures w14:val="none"/>
        </w:rPr>
        <w:t>Nº</w:t>
      </w:r>
      <w:proofErr w:type="spellEnd"/>
      <w:r w:rsidRPr="0019684B">
        <w:rPr>
          <w:rFonts w:ascii="Times New Roman" w:eastAsia="Times New Roman" w:hAnsi="Times New Roman" w:cs="Times New Roman"/>
          <w:b/>
          <w:bCs/>
          <w:color w:val="555555"/>
          <w:kern w:val="0"/>
          <w:sz w:val="32"/>
          <w:szCs w:val="32"/>
          <w:highlight w:val="yellow"/>
          <w:lang w:eastAsia="es-CO"/>
          <w14:ligatures w14:val="none"/>
        </w:rPr>
        <w:t xml:space="preserve"> 152 [004642]</w:t>
      </w:r>
    </w:p>
    <w:p w14:paraId="49439B7C" w14:textId="77777777" w:rsidR="0019684B" w:rsidRPr="0019684B" w:rsidRDefault="0019684B" w:rsidP="0019684B">
      <w:pPr>
        <w:shd w:val="clear" w:color="auto" w:fill="FFFFFF"/>
        <w:spacing w:after="150" w:line="360" w:lineRule="auto"/>
        <w:jc w:val="center"/>
        <w:rPr>
          <w:rFonts w:ascii="Times New Roman" w:eastAsia="Times New Roman" w:hAnsi="Times New Roman" w:cs="Times New Roman"/>
          <w:color w:val="555555"/>
          <w:kern w:val="0"/>
          <w:sz w:val="32"/>
          <w:szCs w:val="32"/>
          <w:highlight w:val="yellow"/>
          <w:lang w:eastAsia="es-CO"/>
          <w14:ligatures w14:val="none"/>
        </w:rPr>
      </w:pPr>
      <w:r w:rsidRPr="0019684B">
        <w:rPr>
          <w:rFonts w:ascii="Times New Roman" w:eastAsia="Times New Roman" w:hAnsi="Times New Roman" w:cs="Times New Roman"/>
          <w:b/>
          <w:bCs/>
          <w:color w:val="555555"/>
          <w:kern w:val="0"/>
          <w:sz w:val="32"/>
          <w:szCs w:val="32"/>
          <w:highlight w:val="yellow"/>
          <w:lang w:eastAsia="es-CO"/>
          <w14:ligatures w14:val="none"/>
        </w:rPr>
        <w:t>05-03-2024</w:t>
      </w:r>
    </w:p>
    <w:p w14:paraId="41B0C6A7" w14:textId="77777777" w:rsidR="0019684B" w:rsidRPr="0019684B" w:rsidRDefault="0019684B" w:rsidP="0019684B">
      <w:pPr>
        <w:shd w:val="clear" w:color="auto" w:fill="FFFFFF"/>
        <w:spacing w:after="150" w:line="360" w:lineRule="auto"/>
        <w:jc w:val="center"/>
        <w:rPr>
          <w:rFonts w:ascii="Times New Roman" w:eastAsia="Times New Roman" w:hAnsi="Times New Roman" w:cs="Times New Roman"/>
          <w:color w:val="555555"/>
          <w:kern w:val="0"/>
          <w:sz w:val="32"/>
          <w:szCs w:val="32"/>
          <w:lang w:eastAsia="es-CO"/>
          <w14:ligatures w14:val="none"/>
        </w:rPr>
      </w:pPr>
      <w:r w:rsidRPr="0019684B">
        <w:rPr>
          <w:rFonts w:ascii="Times New Roman" w:eastAsia="Times New Roman" w:hAnsi="Times New Roman" w:cs="Times New Roman"/>
          <w:b/>
          <w:bCs/>
          <w:color w:val="555555"/>
          <w:kern w:val="0"/>
          <w:sz w:val="32"/>
          <w:szCs w:val="32"/>
          <w:highlight w:val="yellow"/>
          <w:lang w:eastAsia="es-CO"/>
          <w14:ligatures w14:val="none"/>
        </w:rPr>
        <w:t>DIAN</w:t>
      </w:r>
    </w:p>
    <w:p w14:paraId="35C1D002" w14:textId="4AEC784F" w:rsidR="0019684B" w:rsidRPr="0019684B" w:rsidRDefault="0019684B" w:rsidP="0019684B">
      <w:pPr>
        <w:shd w:val="clear" w:color="auto" w:fill="FFFFFF"/>
        <w:spacing w:after="150" w:line="360" w:lineRule="auto"/>
        <w:jc w:val="center"/>
        <w:rPr>
          <w:rFonts w:ascii="Times New Roman" w:eastAsia="Times New Roman" w:hAnsi="Times New Roman" w:cs="Times New Roman"/>
          <w:color w:val="555555"/>
          <w:kern w:val="0"/>
          <w:sz w:val="32"/>
          <w:szCs w:val="32"/>
          <w:lang w:eastAsia="es-CO"/>
          <w14:ligatures w14:val="none"/>
        </w:rPr>
      </w:pPr>
    </w:p>
    <w:p w14:paraId="6755A04F"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5AF3F0C2"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100208192-152</w:t>
      </w:r>
    </w:p>
    <w:p w14:paraId="5B681831"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43750836"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Bogotá, D.C.</w:t>
      </w:r>
    </w:p>
    <w:p w14:paraId="7BC8D57B"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62B2D607"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Señores</w:t>
      </w:r>
    </w:p>
    <w:p w14:paraId="01C9BE9C"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CONTRIBUYENTES</w:t>
      </w:r>
    </w:p>
    <w:p w14:paraId="33A22803"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juridicanormativa@dian.gov.co</w:t>
      </w:r>
    </w:p>
    <w:p w14:paraId="6EE5BD8D"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7EA5BF7B"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sz w:val="32"/>
          <w:szCs w:val="32"/>
          <w:lang w:eastAsia="es-CO"/>
          <w14:ligatures w14:val="none"/>
        </w:rPr>
      </w:pPr>
      <w:r w:rsidRPr="0019684B">
        <w:rPr>
          <w:rFonts w:ascii="Times New Roman" w:eastAsia="Times New Roman" w:hAnsi="Times New Roman" w:cs="Times New Roman"/>
          <w:b/>
          <w:bCs/>
          <w:color w:val="555555"/>
          <w:kern w:val="0"/>
          <w:sz w:val="32"/>
          <w:szCs w:val="32"/>
          <w:highlight w:val="yellow"/>
          <w:lang w:eastAsia="es-CO"/>
          <w14:ligatures w14:val="none"/>
        </w:rPr>
        <w:t>Ref.:</w:t>
      </w:r>
      <w:r w:rsidRPr="0019684B">
        <w:rPr>
          <w:rFonts w:ascii="Times New Roman" w:eastAsia="Times New Roman" w:hAnsi="Times New Roman" w:cs="Times New Roman"/>
          <w:color w:val="555555"/>
          <w:kern w:val="0"/>
          <w:sz w:val="32"/>
          <w:szCs w:val="32"/>
          <w:highlight w:val="yellow"/>
          <w:lang w:eastAsia="es-CO"/>
          <w14:ligatures w14:val="none"/>
        </w:rPr>
        <w:t> Quinta adición al Concepto General sobre el impuesto sobre la renta a cargo de las personas naturales con motivo de la Ley 2277 de 2022.</w:t>
      </w:r>
    </w:p>
    <w:p w14:paraId="37AFDC3A"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4480"/>
      </w:tblGrid>
      <w:tr w:rsidR="0019684B" w:rsidRPr="0019684B" w14:paraId="201852E9" w14:textId="77777777" w:rsidTr="0019684B">
        <w:tc>
          <w:tcPr>
            <w:tcW w:w="0" w:type="auto"/>
            <w:shd w:val="clear" w:color="auto" w:fill="FFFFFF"/>
            <w:tcMar>
              <w:top w:w="0" w:type="dxa"/>
              <w:left w:w="0" w:type="dxa"/>
              <w:bottom w:w="0" w:type="dxa"/>
              <w:right w:w="0" w:type="dxa"/>
            </w:tcMar>
            <w:hideMark/>
          </w:tcPr>
          <w:p w14:paraId="70A0715D" w14:textId="77777777" w:rsidR="0019684B" w:rsidRPr="0019684B" w:rsidRDefault="0019684B" w:rsidP="0019684B">
            <w:pPr>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Tema:</w:t>
            </w:r>
          </w:p>
        </w:tc>
        <w:tc>
          <w:tcPr>
            <w:tcW w:w="0" w:type="auto"/>
            <w:shd w:val="clear" w:color="auto" w:fill="FFFFFF"/>
            <w:tcMar>
              <w:top w:w="0" w:type="dxa"/>
              <w:left w:w="0" w:type="dxa"/>
              <w:bottom w:w="0" w:type="dxa"/>
              <w:right w:w="0" w:type="dxa"/>
            </w:tcMar>
            <w:hideMark/>
          </w:tcPr>
          <w:p w14:paraId="5629E3E3" w14:textId="77777777" w:rsidR="0019684B" w:rsidRPr="0019684B" w:rsidRDefault="0019684B" w:rsidP="0019684B">
            <w:pPr>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Impuesto sobre la renta y complementarios</w:t>
            </w:r>
          </w:p>
        </w:tc>
      </w:tr>
      <w:tr w:rsidR="0019684B" w:rsidRPr="0019684B" w14:paraId="6B296991" w14:textId="77777777" w:rsidTr="0019684B">
        <w:tc>
          <w:tcPr>
            <w:tcW w:w="0" w:type="auto"/>
            <w:shd w:val="clear" w:color="auto" w:fill="FFFFFF"/>
            <w:tcMar>
              <w:top w:w="0" w:type="dxa"/>
              <w:left w:w="0" w:type="dxa"/>
              <w:bottom w:w="0" w:type="dxa"/>
              <w:right w:w="0" w:type="dxa"/>
            </w:tcMar>
            <w:hideMark/>
          </w:tcPr>
          <w:p w14:paraId="60316725" w14:textId="77777777" w:rsidR="0019684B" w:rsidRPr="0019684B" w:rsidRDefault="0019684B" w:rsidP="0019684B">
            <w:pPr>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Descriptores:</w:t>
            </w:r>
          </w:p>
        </w:tc>
        <w:tc>
          <w:tcPr>
            <w:tcW w:w="0" w:type="auto"/>
            <w:shd w:val="clear" w:color="auto" w:fill="FFFFFF"/>
            <w:tcMar>
              <w:top w:w="0" w:type="dxa"/>
              <w:left w:w="0" w:type="dxa"/>
              <w:bottom w:w="0" w:type="dxa"/>
              <w:right w:w="0" w:type="dxa"/>
            </w:tcMar>
            <w:hideMark/>
          </w:tcPr>
          <w:p w14:paraId="624EE09D" w14:textId="77777777" w:rsidR="0019684B" w:rsidRPr="0019684B" w:rsidRDefault="0019684B" w:rsidP="0019684B">
            <w:pPr>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Renta Liquida gravable</w:t>
            </w:r>
          </w:p>
          <w:p w14:paraId="070BCFA4" w14:textId="77777777" w:rsidR="0019684B" w:rsidRPr="0019684B" w:rsidRDefault="0019684B" w:rsidP="0019684B">
            <w:pPr>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Deducción por dependientes económicos</w:t>
            </w:r>
          </w:p>
        </w:tc>
      </w:tr>
      <w:tr w:rsidR="0019684B" w:rsidRPr="0019684B" w14:paraId="106054BC" w14:textId="77777777" w:rsidTr="0019684B">
        <w:tc>
          <w:tcPr>
            <w:tcW w:w="0" w:type="auto"/>
            <w:shd w:val="clear" w:color="auto" w:fill="FFFFFF"/>
            <w:tcMar>
              <w:top w:w="0" w:type="dxa"/>
              <w:left w:w="0" w:type="dxa"/>
              <w:bottom w:w="0" w:type="dxa"/>
              <w:right w:w="0" w:type="dxa"/>
            </w:tcMar>
            <w:hideMark/>
          </w:tcPr>
          <w:p w14:paraId="2EC3D936" w14:textId="77777777" w:rsidR="0019684B" w:rsidRPr="0019684B" w:rsidRDefault="0019684B" w:rsidP="0019684B">
            <w:pPr>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Fuentes formales:</w:t>
            </w:r>
          </w:p>
        </w:tc>
        <w:tc>
          <w:tcPr>
            <w:tcW w:w="0" w:type="auto"/>
            <w:shd w:val="clear" w:color="auto" w:fill="FFFFFF"/>
            <w:tcMar>
              <w:top w:w="0" w:type="dxa"/>
              <w:left w:w="0" w:type="dxa"/>
              <w:bottom w:w="0" w:type="dxa"/>
              <w:right w:w="0" w:type="dxa"/>
            </w:tcMar>
            <w:hideMark/>
          </w:tcPr>
          <w:p w14:paraId="2A70B812" w14:textId="77777777" w:rsidR="0019684B" w:rsidRPr="0019684B" w:rsidRDefault="0019684B" w:rsidP="0019684B">
            <w:pPr>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Artículos </w:t>
            </w:r>
            <w:r w:rsidRPr="0019684B">
              <w:rPr>
                <w:rFonts w:ascii="Times New Roman" w:eastAsia="Times New Roman" w:hAnsi="Times New Roman" w:cs="Times New Roman"/>
                <w:color w:val="555555"/>
                <w:kern w:val="0"/>
                <w:u w:val="single"/>
                <w:lang w:eastAsia="es-CO"/>
                <w14:ligatures w14:val="none"/>
              </w:rPr>
              <w:t>336</w:t>
            </w:r>
            <w:r w:rsidRPr="0019684B">
              <w:rPr>
                <w:rFonts w:ascii="Times New Roman" w:eastAsia="Times New Roman" w:hAnsi="Times New Roman" w:cs="Times New Roman"/>
                <w:color w:val="555555"/>
                <w:kern w:val="0"/>
                <w:lang w:eastAsia="es-CO"/>
                <w14:ligatures w14:val="none"/>
              </w:rPr>
              <w:t> y </w:t>
            </w:r>
            <w:r w:rsidRPr="0019684B">
              <w:rPr>
                <w:rFonts w:ascii="Times New Roman" w:eastAsia="Times New Roman" w:hAnsi="Times New Roman" w:cs="Times New Roman"/>
                <w:color w:val="555555"/>
                <w:kern w:val="0"/>
                <w:u w:val="single"/>
                <w:lang w:eastAsia="es-CO"/>
                <w14:ligatures w14:val="none"/>
              </w:rPr>
              <w:t>387</w:t>
            </w:r>
            <w:r w:rsidRPr="0019684B">
              <w:rPr>
                <w:rFonts w:ascii="Times New Roman" w:eastAsia="Times New Roman" w:hAnsi="Times New Roman" w:cs="Times New Roman"/>
                <w:color w:val="555555"/>
                <w:kern w:val="0"/>
                <w:lang w:eastAsia="es-CO"/>
                <w14:ligatures w14:val="none"/>
              </w:rPr>
              <w:t> del Estatuto Tributario.</w:t>
            </w:r>
          </w:p>
          <w:p w14:paraId="41526102" w14:textId="77777777" w:rsidR="0019684B" w:rsidRPr="0019684B" w:rsidRDefault="0019684B" w:rsidP="0019684B">
            <w:pPr>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Artículo 1.2.1.20.3. del Decreto 1625 de 2016.</w:t>
            </w:r>
          </w:p>
        </w:tc>
      </w:tr>
    </w:tbl>
    <w:p w14:paraId="5A9F5CF4"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2EBDE05F"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lastRenderedPageBreak/>
        <w:t> </w:t>
      </w:r>
    </w:p>
    <w:p w14:paraId="45556D49"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Cordial saludo.</w:t>
      </w:r>
    </w:p>
    <w:p w14:paraId="794E5C03"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4E2CDEC4"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5" w:anchor="cite_note-1" w:history="1">
        <w:r w:rsidRPr="0019684B">
          <w:rPr>
            <w:rFonts w:ascii="Times New Roman" w:eastAsia="Times New Roman" w:hAnsi="Times New Roman" w:cs="Times New Roman"/>
            <w:color w:val="2FA4E7"/>
            <w:kern w:val="0"/>
            <w:vertAlign w:val="superscript"/>
            <w:lang w:eastAsia="es-CO"/>
            <w14:ligatures w14:val="none"/>
          </w:rPr>
          <w:t>1</w:t>
        </w:r>
      </w:hyperlink>
      <w:r w:rsidRPr="0019684B">
        <w:rPr>
          <w:rFonts w:ascii="Times New Roman" w:eastAsia="Times New Roman" w:hAnsi="Times New Roman" w:cs="Times New Roman"/>
          <w:color w:val="555555"/>
          <w:kern w:val="0"/>
          <w:lang w:eastAsia="es-CO"/>
          <w14:ligatures w14:val="none"/>
        </w:rPr>
        <w:t>. En este sentido, la doctrina emitida será de carácter general, no se referirá a asuntos particulares y se someterá a lo consagrado en el artículo 131 de la Ley 2010 de 2019</w:t>
      </w:r>
      <w:hyperlink r:id="rId6" w:anchor="cite_note-2" w:history="1">
        <w:r w:rsidRPr="0019684B">
          <w:rPr>
            <w:rFonts w:ascii="Times New Roman" w:eastAsia="Times New Roman" w:hAnsi="Times New Roman" w:cs="Times New Roman"/>
            <w:color w:val="2FA4E7"/>
            <w:kern w:val="0"/>
            <w:vertAlign w:val="superscript"/>
            <w:lang w:eastAsia="es-CO"/>
            <w14:ligatures w14:val="none"/>
          </w:rPr>
          <w:t>2</w:t>
        </w:r>
      </w:hyperlink>
      <w:r w:rsidRPr="0019684B">
        <w:rPr>
          <w:rFonts w:ascii="Times New Roman" w:eastAsia="Times New Roman" w:hAnsi="Times New Roman" w:cs="Times New Roman"/>
          <w:color w:val="555555"/>
          <w:kern w:val="0"/>
          <w:lang w:eastAsia="es-CO"/>
          <w14:ligatures w14:val="none"/>
        </w:rPr>
        <w:t>.</w:t>
      </w:r>
    </w:p>
    <w:p w14:paraId="2A6AF2D3"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63F25886"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xml:space="preserve">Mediante el presente pronunciamiento, esta Subdirección absolverá unos </w:t>
      </w:r>
      <w:proofErr w:type="gramStart"/>
      <w:r w:rsidRPr="0019684B">
        <w:rPr>
          <w:rFonts w:ascii="Times New Roman" w:eastAsia="Times New Roman" w:hAnsi="Times New Roman" w:cs="Times New Roman"/>
          <w:color w:val="555555"/>
          <w:kern w:val="0"/>
          <w:lang w:eastAsia="es-CO"/>
          <w14:ligatures w14:val="none"/>
        </w:rPr>
        <w:t>interrogantes formulado</w:t>
      </w:r>
      <w:proofErr w:type="gramEnd"/>
      <w:r w:rsidRPr="0019684B">
        <w:rPr>
          <w:rFonts w:ascii="Times New Roman" w:eastAsia="Times New Roman" w:hAnsi="Times New Roman" w:cs="Times New Roman"/>
          <w:color w:val="555555"/>
          <w:kern w:val="0"/>
          <w:lang w:eastAsia="es-CO"/>
          <w14:ligatures w14:val="none"/>
        </w:rPr>
        <w:t xml:space="preserve"> en torno a la interpretación y aplicación del inciso 2 del numeral 3 del </w:t>
      </w:r>
      <w:r w:rsidRPr="0019684B">
        <w:rPr>
          <w:rFonts w:ascii="Times New Roman" w:eastAsia="Times New Roman" w:hAnsi="Times New Roman" w:cs="Times New Roman"/>
          <w:color w:val="555555"/>
          <w:kern w:val="0"/>
          <w:u w:val="single"/>
          <w:lang w:eastAsia="es-CO"/>
          <w14:ligatures w14:val="none"/>
        </w:rPr>
        <w:t>artículo 336</w:t>
      </w:r>
      <w:r w:rsidRPr="0019684B">
        <w:rPr>
          <w:rFonts w:ascii="Times New Roman" w:eastAsia="Times New Roman" w:hAnsi="Times New Roman" w:cs="Times New Roman"/>
          <w:color w:val="555555"/>
          <w:kern w:val="0"/>
          <w:lang w:eastAsia="es-CO"/>
          <w14:ligatures w14:val="none"/>
        </w:rPr>
        <w:t> del Estatuto Tributario impuesto sobre la renta a cargo de las personas naturales (el «Impuesto» en adelante) y la retención en la fuente por este impuesto aplicable a las personas naturales que perciban rentas de trabajo diferentes a las provenientes de una relación laboral o legal y reglamentaria. Lo anterior con motivo de la Ley 2277 de 2022 mediante la adición al Concepto General de la referencia (Concepto 003966 - interno 416 del 31 de marzo de 2023).</w:t>
      </w:r>
    </w:p>
    <w:p w14:paraId="633AFEA5"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6947E458"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II. DEDUCCION POR DEPENDIENTES</w:t>
      </w:r>
    </w:p>
    <w:p w14:paraId="060FED19"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2C07857D"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5. ¿La deducción por dependientes que contempla el inciso 2 del numeral 3 del </w:t>
      </w:r>
      <w:r w:rsidRPr="0019684B">
        <w:rPr>
          <w:rFonts w:ascii="Times New Roman" w:eastAsia="Times New Roman" w:hAnsi="Times New Roman" w:cs="Times New Roman"/>
          <w:color w:val="555555"/>
          <w:kern w:val="0"/>
          <w:u w:val="single"/>
          <w:lang w:eastAsia="es-CO"/>
          <w14:ligatures w14:val="none"/>
        </w:rPr>
        <w:t>artículo 336</w:t>
      </w:r>
      <w:r w:rsidRPr="0019684B">
        <w:rPr>
          <w:rFonts w:ascii="Times New Roman" w:eastAsia="Times New Roman" w:hAnsi="Times New Roman" w:cs="Times New Roman"/>
          <w:b/>
          <w:bCs/>
          <w:color w:val="555555"/>
          <w:kern w:val="0"/>
          <w:lang w:eastAsia="es-CO"/>
          <w14:ligatures w14:val="none"/>
        </w:rPr>
        <w:t> del Estatuto Tributario, aplica en los casos que estos posean patrimonio?</w:t>
      </w:r>
    </w:p>
    <w:p w14:paraId="3798E919"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00333203"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De acuerdo con lo indicado en el numeral 3 del Descriptor II de este concepto, la expresión </w:t>
      </w:r>
      <w:r w:rsidRPr="0019684B">
        <w:rPr>
          <w:rFonts w:ascii="Times New Roman" w:eastAsia="Times New Roman" w:hAnsi="Times New Roman" w:cs="Times New Roman"/>
          <w:i/>
          <w:iCs/>
          <w:color w:val="555555"/>
          <w:kern w:val="0"/>
          <w:lang w:eastAsia="es-CO"/>
          <w14:ligatures w14:val="none"/>
        </w:rPr>
        <w:t>“dependiente”</w:t>
      </w:r>
      <w:r w:rsidRPr="0019684B">
        <w:rPr>
          <w:rFonts w:ascii="Times New Roman" w:eastAsia="Times New Roman" w:hAnsi="Times New Roman" w:cs="Times New Roman"/>
          <w:color w:val="555555"/>
          <w:kern w:val="0"/>
          <w:lang w:eastAsia="es-CO"/>
          <w14:ligatures w14:val="none"/>
        </w:rPr>
        <w:t> que establece el inciso 2 del numeral 3 del </w:t>
      </w:r>
      <w:r w:rsidRPr="0019684B">
        <w:rPr>
          <w:rFonts w:ascii="Times New Roman" w:eastAsia="Times New Roman" w:hAnsi="Times New Roman" w:cs="Times New Roman"/>
          <w:color w:val="555555"/>
          <w:kern w:val="0"/>
          <w:u w:val="single"/>
          <w:lang w:eastAsia="es-CO"/>
          <w14:ligatures w14:val="none"/>
        </w:rPr>
        <w:t>artículo 366</w:t>
      </w:r>
      <w:r w:rsidRPr="0019684B">
        <w:rPr>
          <w:rFonts w:ascii="Times New Roman" w:eastAsia="Times New Roman" w:hAnsi="Times New Roman" w:cs="Times New Roman"/>
          <w:color w:val="555555"/>
          <w:kern w:val="0"/>
          <w:lang w:eastAsia="es-CO"/>
          <w14:ligatures w14:val="none"/>
        </w:rPr>
        <w:t> del Estatuto Tributario, debe entenderse en virtud de lo señalado en el parágrafo 2 del </w:t>
      </w:r>
      <w:r w:rsidRPr="0019684B">
        <w:rPr>
          <w:rFonts w:ascii="Times New Roman" w:eastAsia="Times New Roman" w:hAnsi="Times New Roman" w:cs="Times New Roman"/>
          <w:color w:val="555555"/>
          <w:kern w:val="0"/>
          <w:u w:val="single"/>
          <w:lang w:eastAsia="es-CO"/>
          <w14:ligatures w14:val="none"/>
        </w:rPr>
        <w:t>artículo 387</w:t>
      </w:r>
      <w:r w:rsidRPr="0019684B">
        <w:rPr>
          <w:rFonts w:ascii="Times New Roman" w:eastAsia="Times New Roman" w:hAnsi="Times New Roman" w:cs="Times New Roman"/>
          <w:color w:val="555555"/>
          <w:kern w:val="0"/>
          <w:lang w:eastAsia="es-CO"/>
          <w14:ligatures w14:val="none"/>
        </w:rPr>
        <w:t> ibidem.</w:t>
      </w:r>
    </w:p>
    <w:p w14:paraId="47124CF8"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241FA28F"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lastRenderedPageBreak/>
        <w:t>En este sentido, para efectos de establecer la procedencia de la deducción por dependientes contemplada en el inciso 2 del numeral 3 del </w:t>
      </w:r>
      <w:r w:rsidRPr="0019684B">
        <w:rPr>
          <w:rFonts w:ascii="Times New Roman" w:eastAsia="Times New Roman" w:hAnsi="Times New Roman" w:cs="Times New Roman"/>
          <w:color w:val="555555"/>
          <w:kern w:val="0"/>
          <w:u w:val="single"/>
          <w:lang w:eastAsia="es-CO"/>
          <w14:ligatures w14:val="none"/>
        </w:rPr>
        <w:t>artículo 366</w:t>
      </w:r>
      <w:r w:rsidRPr="0019684B">
        <w:rPr>
          <w:rFonts w:ascii="Times New Roman" w:eastAsia="Times New Roman" w:hAnsi="Times New Roman" w:cs="Times New Roman"/>
          <w:color w:val="555555"/>
          <w:kern w:val="0"/>
          <w:lang w:eastAsia="es-CO"/>
          <w14:ligatures w14:val="none"/>
        </w:rPr>
        <w:t> ibidem, es necesario remitirnos tanto a la definición de dependientes económicos que contempla el </w:t>
      </w:r>
      <w:r w:rsidRPr="0019684B">
        <w:rPr>
          <w:rFonts w:ascii="Times New Roman" w:eastAsia="Times New Roman" w:hAnsi="Times New Roman" w:cs="Times New Roman"/>
          <w:color w:val="555555"/>
          <w:kern w:val="0"/>
          <w:u w:val="single"/>
          <w:lang w:eastAsia="es-CO"/>
          <w14:ligatures w14:val="none"/>
        </w:rPr>
        <w:t>artículo 387</w:t>
      </w:r>
      <w:r w:rsidRPr="0019684B">
        <w:rPr>
          <w:rFonts w:ascii="Times New Roman" w:eastAsia="Times New Roman" w:hAnsi="Times New Roman" w:cs="Times New Roman"/>
          <w:color w:val="555555"/>
          <w:kern w:val="0"/>
          <w:lang w:eastAsia="es-CO"/>
          <w14:ligatures w14:val="none"/>
        </w:rPr>
        <w:t> mencionado, como a los requisitos que determinan la dependencia económica, en cada una de las categorías allí señaladas y el cumplimiento de estas condiciones serán los presupuestos que determinen la aplicación o no de la mencionada deducción.</w:t>
      </w:r>
    </w:p>
    <w:p w14:paraId="6CAC0F5A"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1FD5F3DF"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En consecuencia, criterios diferentes a los allí señalados, como la posesión de patrimonio por parte de los dependientes económicos, no son determinantes para efectos de establecer la procedencia o no de la deducción contemplada en el inciso 2 del numeral 3 del </w:t>
      </w:r>
      <w:r w:rsidRPr="0019684B">
        <w:rPr>
          <w:rFonts w:ascii="Times New Roman" w:eastAsia="Times New Roman" w:hAnsi="Times New Roman" w:cs="Times New Roman"/>
          <w:color w:val="555555"/>
          <w:kern w:val="0"/>
          <w:u w:val="single"/>
          <w:lang w:eastAsia="es-CO"/>
          <w14:ligatures w14:val="none"/>
        </w:rPr>
        <w:t>artículo 366</w:t>
      </w:r>
      <w:r w:rsidRPr="0019684B">
        <w:rPr>
          <w:rFonts w:ascii="Times New Roman" w:eastAsia="Times New Roman" w:hAnsi="Times New Roman" w:cs="Times New Roman"/>
          <w:color w:val="555555"/>
          <w:kern w:val="0"/>
          <w:lang w:eastAsia="es-CO"/>
          <w14:ligatures w14:val="none"/>
        </w:rPr>
        <w:t> del Estatuto Tributario.</w:t>
      </w:r>
    </w:p>
    <w:p w14:paraId="6DF9755F"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1618A2AB"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Finalmente, es importante precisar que en virtud de lo señalado en el inciso 2 del numeral 1.1.2. del artículo 1.2.1.20.3. del Decreto 1625 de 2016 modificado por el Decreto 2231 de 2023, dicha deducción aplica únicamente respecto de los ingresos provenientes de rentas de trabajo y un mismo dependiente solo dará lugar a una de estas dos deducciones, excepto cuando se tenga rentas provenientes de una relación laboral y legal o reglamentaria, caso en el cual se podrá aplicar ambas deducciones por un mismo dependiente.</w:t>
      </w:r>
    </w:p>
    <w:p w14:paraId="4A2535FD"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109509C6"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IV.</w:t>
      </w:r>
      <w:r w:rsidRPr="0019684B">
        <w:rPr>
          <w:rFonts w:ascii="Times New Roman" w:eastAsia="Times New Roman" w:hAnsi="Times New Roman" w:cs="Times New Roman"/>
          <w:color w:val="555555"/>
          <w:kern w:val="0"/>
          <w:lang w:eastAsia="es-CO"/>
          <w14:ligatures w14:val="none"/>
        </w:rPr>
        <w:t> </w:t>
      </w:r>
      <w:r w:rsidRPr="0019684B">
        <w:rPr>
          <w:rFonts w:ascii="Times New Roman" w:eastAsia="Times New Roman" w:hAnsi="Times New Roman" w:cs="Times New Roman"/>
          <w:b/>
          <w:bCs/>
          <w:color w:val="555555"/>
          <w:kern w:val="0"/>
          <w:lang w:eastAsia="es-CO"/>
          <w14:ligatures w14:val="none"/>
        </w:rPr>
        <w:t>RETENCIÓN EN LA FUENTE</w:t>
      </w:r>
    </w:p>
    <w:p w14:paraId="40A4A2C2"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0704BE4D"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5. ¿Cuál es la retención en la fuente aplicable a las personas naturales que perciban rentas de trabajo diferentes a las provenientes de una relación laboral o legal y reglamentaria?</w:t>
      </w:r>
    </w:p>
    <w:p w14:paraId="5C0550EF"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52FECD2B"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El parágrafo 4 del artículo 1.2.4.1.17. del Decreto 1625 de 2016 precisa:</w:t>
      </w:r>
    </w:p>
    <w:p w14:paraId="1411DD7D"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0C6AC959"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i/>
          <w:iCs/>
          <w:color w:val="555555"/>
          <w:kern w:val="0"/>
          <w:lang w:eastAsia="es-CO"/>
          <w14:ligatures w14:val="none"/>
        </w:rPr>
        <w:lastRenderedPageBreak/>
        <w:t>«Parágrafo 4. Las personas naturales que perciban rentas de trabajo diferentes a las provenientes de una relación laboral o legal y reglamentaria que no soliciten al agente retenedor la aplicación de costos y deducciones de conformidad con lo previsto en el numeral 6 del artículo 1.2.4.1.6. de este Decreto, se rigen por lo previsto en el </w:t>
      </w:r>
      <w:r w:rsidRPr="0019684B">
        <w:rPr>
          <w:rFonts w:ascii="Times New Roman" w:eastAsia="Times New Roman" w:hAnsi="Times New Roman" w:cs="Times New Roman"/>
          <w:i/>
          <w:iCs/>
          <w:color w:val="555555"/>
          <w:kern w:val="0"/>
          <w:u w:val="single"/>
          <w:lang w:eastAsia="es-CO"/>
          <w14:ligatures w14:val="none"/>
        </w:rPr>
        <w:t>artículo 383</w:t>
      </w:r>
      <w:r w:rsidRPr="0019684B">
        <w:rPr>
          <w:rFonts w:ascii="Times New Roman" w:eastAsia="Times New Roman" w:hAnsi="Times New Roman" w:cs="Times New Roman"/>
          <w:i/>
          <w:iCs/>
          <w:color w:val="555555"/>
          <w:kern w:val="0"/>
          <w:lang w:eastAsia="es-CO"/>
          <w14:ligatures w14:val="none"/>
        </w:rPr>
        <w:t> del Estatuto Tributario. En caso contrario tendrá lugar a aplicar las tarifas de retención en la fuente previstas en los artículos </w:t>
      </w:r>
      <w:r w:rsidRPr="0019684B">
        <w:rPr>
          <w:rFonts w:ascii="Times New Roman" w:eastAsia="Times New Roman" w:hAnsi="Times New Roman" w:cs="Times New Roman"/>
          <w:i/>
          <w:iCs/>
          <w:color w:val="555555"/>
          <w:kern w:val="0"/>
          <w:u w:val="single"/>
          <w:lang w:eastAsia="es-CO"/>
          <w14:ligatures w14:val="none"/>
        </w:rPr>
        <w:t>392</w:t>
      </w:r>
      <w:r w:rsidRPr="0019684B">
        <w:rPr>
          <w:rFonts w:ascii="Times New Roman" w:eastAsia="Times New Roman" w:hAnsi="Times New Roman" w:cs="Times New Roman"/>
          <w:i/>
          <w:iCs/>
          <w:color w:val="555555"/>
          <w:kern w:val="0"/>
          <w:lang w:eastAsia="es-CO"/>
          <w14:ligatures w14:val="none"/>
        </w:rPr>
        <w:t> y </w:t>
      </w:r>
      <w:r w:rsidRPr="0019684B">
        <w:rPr>
          <w:rFonts w:ascii="Times New Roman" w:eastAsia="Times New Roman" w:hAnsi="Times New Roman" w:cs="Times New Roman"/>
          <w:i/>
          <w:iCs/>
          <w:color w:val="555555"/>
          <w:kern w:val="0"/>
          <w:u w:val="single"/>
          <w:lang w:eastAsia="es-CO"/>
          <w14:ligatures w14:val="none"/>
        </w:rPr>
        <w:t>401</w:t>
      </w:r>
      <w:r w:rsidRPr="0019684B">
        <w:rPr>
          <w:rFonts w:ascii="Times New Roman" w:eastAsia="Times New Roman" w:hAnsi="Times New Roman" w:cs="Times New Roman"/>
          <w:i/>
          <w:iCs/>
          <w:color w:val="555555"/>
          <w:kern w:val="0"/>
          <w:lang w:eastAsia="es-CO"/>
          <w14:ligatures w14:val="none"/>
        </w:rPr>
        <w:t> del Estatuto Tributario según corresponda.»</w:t>
      </w:r>
    </w:p>
    <w:p w14:paraId="77BB1300"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5ED4E5A1"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Así las cosas, el parágrafo citado precisa el tratamiento en materia de retención en la fuente a título de renta en el caso de los ingresos percibidos por personas naturales que perciban rentas de trabajo, diferentes a las provenientes de una relación laboral o legal y reglamentaria (por ejemplo, honorarios) para efectos de la aplicación de lo dispuesto en el parágrafo 2 del </w:t>
      </w:r>
      <w:r w:rsidRPr="0019684B">
        <w:rPr>
          <w:rFonts w:ascii="Times New Roman" w:eastAsia="Times New Roman" w:hAnsi="Times New Roman" w:cs="Times New Roman"/>
          <w:color w:val="555555"/>
          <w:kern w:val="0"/>
          <w:u w:val="single"/>
          <w:lang w:eastAsia="es-CO"/>
          <w14:ligatures w14:val="none"/>
        </w:rPr>
        <w:t>artículo 383</w:t>
      </w:r>
      <w:r w:rsidRPr="0019684B">
        <w:rPr>
          <w:rFonts w:ascii="Times New Roman" w:eastAsia="Times New Roman" w:hAnsi="Times New Roman" w:cs="Times New Roman"/>
          <w:color w:val="555555"/>
          <w:kern w:val="0"/>
          <w:lang w:eastAsia="es-CO"/>
          <w14:ligatures w14:val="none"/>
        </w:rPr>
        <w:t> del Estatuto Tributario.</w:t>
      </w:r>
    </w:p>
    <w:p w14:paraId="287A2A6E"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71BA88BD"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7" w:tgtFrame="_blank" w:history="1">
        <w:r w:rsidRPr="0019684B">
          <w:rPr>
            <w:rFonts w:ascii="Times New Roman" w:eastAsia="Times New Roman" w:hAnsi="Times New Roman" w:cs="Times New Roman"/>
            <w:color w:val="2FA4E7"/>
            <w:kern w:val="0"/>
            <w:u w:val="single"/>
            <w:lang w:eastAsia="es-CO"/>
            <w14:ligatures w14:val="none"/>
          </w:rPr>
          <w:t>https://normograma.dian.gov.co/dian/</w:t>
        </w:r>
      </w:hyperlink>
      <w:r w:rsidRPr="0019684B">
        <w:rPr>
          <w:rFonts w:ascii="Times New Roman" w:eastAsia="Times New Roman" w:hAnsi="Times New Roman" w:cs="Times New Roman"/>
          <w:color w:val="555555"/>
          <w:kern w:val="0"/>
          <w:lang w:eastAsia="es-CO"/>
          <w14:ligatures w14:val="none"/>
        </w:rPr>
        <w:t>.</w:t>
      </w:r>
    </w:p>
    <w:p w14:paraId="1C1C9F24"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1111F1E3"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Atentamente,</w:t>
      </w:r>
    </w:p>
    <w:p w14:paraId="787941B7"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5EDB08C8"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13ECD1E0"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b/>
          <w:bCs/>
          <w:color w:val="555555"/>
          <w:kern w:val="0"/>
          <w:lang w:eastAsia="es-CO"/>
          <w14:ligatures w14:val="none"/>
        </w:rPr>
        <w:t>INGRID CASTAÑEDA CEPEDA</w:t>
      </w:r>
    </w:p>
    <w:p w14:paraId="7F3C4375"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Subdirectora de Normativa y Doctrina (A)</w:t>
      </w:r>
    </w:p>
    <w:p w14:paraId="45F4CB7A"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Dirección de Gestión Jurídica</w:t>
      </w:r>
    </w:p>
    <w:p w14:paraId="5B2ED76B"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U.A.E. Dirección de Impuestos y Aduanas Nacionales – DIAN</w:t>
      </w:r>
    </w:p>
    <w:p w14:paraId="2F0B0461" w14:textId="77777777" w:rsidR="0019684B" w:rsidRPr="0019684B" w:rsidRDefault="0019684B" w:rsidP="0019684B">
      <w:pPr>
        <w:shd w:val="clear" w:color="auto" w:fill="FFFFFF"/>
        <w:spacing w:after="15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54B3D547" w14:textId="77777777" w:rsidR="0019684B" w:rsidRPr="0019684B" w:rsidRDefault="0019684B" w:rsidP="0019684B">
      <w:pPr>
        <w:shd w:val="clear" w:color="auto" w:fill="FFFFFF"/>
        <w:spacing w:before="300" w:after="150" w:line="360" w:lineRule="auto"/>
        <w:jc w:val="both"/>
        <w:outlineLvl w:val="2"/>
        <w:rPr>
          <w:rFonts w:ascii="Times New Roman" w:eastAsia="Times New Roman" w:hAnsi="Times New Roman" w:cs="Times New Roman"/>
          <w:color w:val="317EAC"/>
          <w:kern w:val="0"/>
          <w:lang w:eastAsia="es-CO"/>
          <w14:ligatures w14:val="none"/>
        </w:rPr>
      </w:pPr>
      <w:r w:rsidRPr="0019684B">
        <w:rPr>
          <w:rFonts w:ascii="Times New Roman" w:eastAsia="Times New Roman" w:hAnsi="Times New Roman" w:cs="Times New Roman"/>
          <w:color w:val="317EAC"/>
          <w:kern w:val="0"/>
          <w:lang w:eastAsia="es-CO"/>
          <w14:ligatures w14:val="none"/>
        </w:rPr>
        <w:lastRenderedPageBreak/>
        <w:t>Notas al pie</w:t>
      </w:r>
    </w:p>
    <w:p w14:paraId="1209EF0B" w14:textId="77777777" w:rsidR="0019684B" w:rsidRPr="0019684B" w:rsidRDefault="0019684B" w:rsidP="0019684B">
      <w:pPr>
        <w:spacing w:before="300" w:after="300" w:line="360" w:lineRule="auto"/>
        <w:jc w:val="both"/>
        <w:rPr>
          <w:rFonts w:ascii="Times New Roman" w:eastAsia="Times New Roman" w:hAnsi="Times New Roman" w:cs="Times New Roman"/>
          <w:kern w:val="0"/>
          <w:lang w:eastAsia="es-CO"/>
          <w14:ligatures w14:val="none"/>
        </w:rPr>
      </w:pPr>
      <w:r w:rsidRPr="0019684B">
        <w:rPr>
          <w:rFonts w:ascii="Times New Roman" w:eastAsia="Times New Roman" w:hAnsi="Times New Roman" w:cs="Times New Roman"/>
          <w:kern w:val="0"/>
          <w:lang w:eastAsia="es-CO"/>
          <w14:ligatures w14:val="none"/>
        </w:rPr>
        <w:pict w14:anchorId="1A94055D">
          <v:rect id="_x0000_i1025" style="width:0;height:0" o:hralign="center" o:hrstd="t" o:hrnoshade="t" o:hr="t" fillcolor="#555" stroked="f"/>
        </w:pict>
      </w:r>
    </w:p>
    <w:p w14:paraId="22244234" w14:textId="77777777" w:rsidR="0019684B" w:rsidRPr="0019684B" w:rsidRDefault="0019684B" w:rsidP="0019684B">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55555"/>
          <w:kern w:val="0"/>
          <w:lang w:eastAsia="es-CO"/>
          <w14:ligatures w14:val="none"/>
        </w:rPr>
      </w:pPr>
      <w:hyperlink r:id="rId8" w:anchor="cite_ref-1" w:tooltip="Volver arriba" w:history="1">
        <w:r w:rsidRPr="0019684B">
          <w:rPr>
            <w:rFonts w:ascii="Times New Roman" w:eastAsia="Times New Roman" w:hAnsi="Times New Roman" w:cs="Times New Roman"/>
            <w:color w:val="2FA4E7"/>
            <w:kern w:val="0"/>
            <w:lang w:eastAsia="es-CO"/>
            <w14:ligatures w14:val="none"/>
          </w:rPr>
          <w:t>↑</w:t>
        </w:r>
      </w:hyperlink>
      <w:r w:rsidRPr="0019684B">
        <w:rPr>
          <w:rFonts w:ascii="Times New Roman" w:eastAsia="Times New Roman" w:hAnsi="Times New Roman" w:cs="Times New Roman"/>
          <w:color w:val="555555"/>
          <w:kern w:val="0"/>
          <w:lang w:eastAsia="es-CO"/>
          <w14:ligatures w14:val="none"/>
        </w:rPr>
        <w:t> De conformidad con el numeral 4 del artículo 56 del Decreto 1742 de 2020 y el artículo 7 de la Resolución DIAN 91 de 2021.</w:t>
      </w:r>
    </w:p>
    <w:p w14:paraId="640C8A1F" w14:textId="77777777" w:rsidR="0019684B" w:rsidRPr="0019684B" w:rsidRDefault="0019684B" w:rsidP="0019684B">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55555"/>
          <w:kern w:val="0"/>
          <w:lang w:eastAsia="es-CO"/>
          <w14:ligatures w14:val="none"/>
        </w:rPr>
      </w:pPr>
      <w:hyperlink r:id="rId9" w:anchor="cite_ref-2" w:tooltip="Volver arriba" w:history="1">
        <w:r w:rsidRPr="0019684B">
          <w:rPr>
            <w:rFonts w:ascii="Times New Roman" w:eastAsia="Times New Roman" w:hAnsi="Times New Roman" w:cs="Times New Roman"/>
            <w:color w:val="2FA4E7"/>
            <w:kern w:val="0"/>
            <w:lang w:eastAsia="es-CO"/>
            <w14:ligatures w14:val="none"/>
          </w:rPr>
          <w:t>↑</w:t>
        </w:r>
      </w:hyperlink>
      <w:r w:rsidRPr="0019684B">
        <w:rPr>
          <w:rFonts w:ascii="Times New Roman" w:eastAsia="Times New Roman" w:hAnsi="Times New Roman" w:cs="Times New Roman"/>
          <w:color w:val="555555"/>
          <w:kern w:val="0"/>
          <w:lang w:eastAsia="es-CO"/>
          <w14:ligatures w14:val="none"/>
        </w:rPr>
        <w:t> De conformidad con el numeral 1 del artículo 56 del Decreto 1742 de 2020 y el artículo 7-1 de la Resolución DIAN 91 de 2021.</w:t>
      </w:r>
    </w:p>
    <w:p w14:paraId="501BC12B" w14:textId="77777777" w:rsidR="0019684B" w:rsidRPr="0019684B" w:rsidRDefault="0019684B" w:rsidP="0019684B">
      <w:pPr>
        <w:shd w:val="clear" w:color="auto" w:fill="FFFFFF"/>
        <w:spacing w:after="0" w:line="360" w:lineRule="auto"/>
        <w:jc w:val="both"/>
        <w:rPr>
          <w:rFonts w:ascii="Times New Roman" w:eastAsia="Times New Roman" w:hAnsi="Times New Roman" w:cs="Times New Roman"/>
          <w:color w:val="555555"/>
          <w:kern w:val="0"/>
          <w:lang w:eastAsia="es-CO"/>
          <w14:ligatures w14:val="none"/>
        </w:rPr>
      </w:pPr>
      <w:r w:rsidRPr="0019684B">
        <w:rPr>
          <w:rFonts w:ascii="Times New Roman" w:eastAsia="Times New Roman" w:hAnsi="Times New Roman" w:cs="Times New Roman"/>
          <w:color w:val="555555"/>
          <w:kern w:val="0"/>
          <w:lang w:eastAsia="es-CO"/>
          <w14:ligatures w14:val="none"/>
        </w:rPr>
        <w:t> </w:t>
      </w:r>
    </w:p>
    <w:p w14:paraId="019A0567" w14:textId="77777777" w:rsidR="0083078F" w:rsidRPr="0019684B" w:rsidRDefault="0083078F" w:rsidP="0019684B">
      <w:pPr>
        <w:spacing w:line="360" w:lineRule="auto"/>
        <w:jc w:val="both"/>
        <w:rPr>
          <w:rFonts w:ascii="Times New Roman" w:hAnsi="Times New Roman" w:cs="Times New Roman"/>
        </w:rPr>
      </w:pPr>
    </w:p>
    <w:sectPr w:rsidR="0083078F" w:rsidRPr="001968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B2DC0"/>
    <w:multiLevelType w:val="multilevel"/>
    <w:tmpl w:val="B042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06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19684B"/>
    <w:rsid w:val="008307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09F5"/>
  <w15:chartTrackingRefBased/>
  <w15:docId w15:val="{4F84DAF9-78C5-41CB-BEA7-38CFABAB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68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68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9684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968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9684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9684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9684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68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68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684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684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9684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9684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9684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9684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9684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9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68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68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684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9684B"/>
    <w:pPr>
      <w:spacing w:before="160"/>
      <w:jc w:val="center"/>
    </w:pPr>
    <w:rPr>
      <w:i/>
      <w:iCs/>
      <w:color w:val="404040" w:themeColor="text1" w:themeTint="BF"/>
    </w:rPr>
  </w:style>
  <w:style w:type="character" w:customStyle="1" w:styleId="CitaCar">
    <w:name w:val="Cita Car"/>
    <w:basedOn w:val="Fuentedeprrafopredeter"/>
    <w:link w:val="Cita"/>
    <w:uiPriority w:val="29"/>
    <w:rsid w:val="0019684B"/>
    <w:rPr>
      <w:i/>
      <w:iCs/>
      <w:color w:val="404040" w:themeColor="text1" w:themeTint="BF"/>
    </w:rPr>
  </w:style>
  <w:style w:type="paragraph" w:styleId="Prrafodelista">
    <w:name w:val="List Paragraph"/>
    <w:basedOn w:val="Normal"/>
    <w:uiPriority w:val="34"/>
    <w:qFormat/>
    <w:rsid w:val="0019684B"/>
    <w:pPr>
      <w:ind w:left="720"/>
      <w:contextualSpacing/>
    </w:pPr>
  </w:style>
  <w:style w:type="character" w:styleId="nfasisintenso">
    <w:name w:val="Intense Emphasis"/>
    <w:basedOn w:val="Fuentedeprrafopredeter"/>
    <w:uiPriority w:val="21"/>
    <w:qFormat/>
    <w:rsid w:val="0019684B"/>
    <w:rPr>
      <w:i/>
      <w:iCs/>
      <w:color w:val="0F4761" w:themeColor="accent1" w:themeShade="BF"/>
    </w:rPr>
  </w:style>
  <w:style w:type="paragraph" w:styleId="Citadestacada">
    <w:name w:val="Intense Quote"/>
    <w:basedOn w:val="Normal"/>
    <w:next w:val="Normal"/>
    <w:link w:val="CitadestacadaCar"/>
    <w:uiPriority w:val="30"/>
    <w:qFormat/>
    <w:rsid w:val="0019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684B"/>
    <w:rPr>
      <w:i/>
      <w:iCs/>
      <w:color w:val="0F4761" w:themeColor="accent1" w:themeShade="BF"/>
    </w:rPr>
  </w:style>
  <w:style w:type="character" w:styleId="Referenciaintensa">
    <w:name w:val="Intense Reference"/>
    <w:basedOn w:val="Fuentedeprrafopredeter"/>
    <w:uiPriority w:val="32"/>
    <w:qFormat/>
    <w:rsid w:val="001968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095" TargetMode="External"/><Relationship Id="rId3" Type="http://schemas.openxmlformats.org/officeDocument/2006/relationships/settings" Target="settings.xml"/><Relationship Id="rId7" Type="http://schemas.openxmlformats.org/officeDocument/2006/relationships/hyperlink" Target="https://normograma.dian.gov.co/d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51095" TargetMode="External"/><Relationship Id="rId11" Type="http://schemas.openxmlformats.org/officeDocument/2006/relationships/theme" Target="theme/theme1.xml"/><Relationship Id="rId5" Type="http://schemas.openxmlformats.org/officeDocument/2006/relationships/hyperlink" Target="https://www.ceta.org.co/html/vista_de_un_documento.asp?DocumentoID=510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ta.org.co/html/vista_de_un_documento.asp?DocumentoID=510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907</Words>
  <Characters>4994</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2024-03-15T20:07:00Z</dcterms:created>
  <dcterms:modified xsi:type="dcterms:W3CDTF">2024-03-15T20:12:00Z</dcterms:modified>
</cp:coreProperties>
</file>