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2E610" w14:textId="77777777" w:rsidR="00D713A4" w:rsidRDefault="00D713A4"/>
    <w:p w14:paraId="11BA2C2C" w14:textId="77777777" w:rsidR="00D713A4" w:rsidRDefault="00D713A4"/>
    <w:p w14:paraId="4E80C819" w14:textId="77777777" w:rsidR="00D713A4" w:rsidRPr="00D713A4" w:rsidRDefault="00D713A4" w:rsidP="00D713A4">
      <w:pPr>
        <w:spacing w:after="0" w:line="240" w:lineRule="auto"/>
        <w:jc w:val="center"/>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b/>
          <w:bCs/>
          <w:color w:val="000000"/>
          <w:kern w:val="0"/>
          <w:sz w:val="21"/>
          <w:szCs w:val="21"/>
          <w:lang w:eastAsia="es-CO"/>
          <w14:ligatures w14:val="none"/>
        </w:rPr>
        <w:t>Concepto 1151 [022133]</w:t>
      </w:r>
    </w:p>
    <w:p w14:paraId="3D89359B" w14:textId="77777777" w:rsidR="00D713A4" w:rsidRPr="00D713A4" w:rsidRDefault="00D713A4" w:rsidP="00D713A4">
      <w:pPr>
        <w:spacing w:after="0" w:line="240" w:lineRule="auto"/>
        <w:jc w:val="center"/>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b/>
          <w:bCs/>
          <w:color w:val="000000"/>
          <w:kern w:val="0"/>
          <w:sz w:val="21"/>
          <w:szCs w:val="21"/>
          <w:lang w:eastAsia="es-CO"/>
          <w14:ligatures w14:val="none"/>
        </w:rPr>
        <w:t>10-12-2024</w:t>
      </w:r>
    </w:p>
    <w:p w14:paraId="53DA62EF" w14:textId="77777777" w:rsidR="00D713A4" w:rsidRPr="00D713A4" w:rsidRDefault="00D713A4" w:rsidP="00D713A4">
      <w:pPr>
        <w:spacing w:after="0" w:line="240" w:lineRule="auto"/>
        <w:jc w:val="center"/>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b/>
          <w:bCs/>
          <w:color w:val="000000"/>
          <w:kern w:val="0"/>
          <w:sz w:val="21"/>
          <w:szCs w:val="21"/>
          <w:lang w:eastAsia="es-CO"/>
          <w14:ligatures w14:val="none"/>
        </w:rPr>
        <w:t>DIAN</w:t>
      </w:r>
    </w:p>
    <w:p w14:paraId="7C124CAD"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65149197"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61223AB9"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100208192 - 1151</w:t>
      </w:r>
    </w:p>
    <w:p w14:paraId="7933C87C"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529F31DC"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Bogotá, D.C.</w:t>
      </w:r>
    </w:p>
    <w:p w14:paraId="4048A5A8"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06"/>
        <w:gridCol w:w="6862"/>
      </w:tblGrid>
      <w:tr w:rsidR="00D713A4" w:rsidRPr="00D713A4" w14:paraId="25782EEE" w14:textId="77777777" w:rsidTr="00D713A4">
        <w:tc>
          <w:tcPr>
            <w:tcW w:w="2206" w:type="dxa"/>
            <w:tcBorders>
              <w:top w:val="nil"/>
              <w:left w:val="nil"/>
              <w:bottom w:val="nil"/>
              <w:right w:val="nil"/>
            </w:tcBorders>
            <w:tcMar>
              <w:top w:w="0" w:type="dxa"/>
              <w:left w:w="105" w:type="dxa"/>
              <w:bottom w:w="0" w:type="dxa"/>
              <w:right w:w="105" w:type="dxa"/>
            </w:tcMar>
            <w:hideMark/>
          </w:tcPr>
          <w:p w14:paraId="3E07E49D" w14:textId="77777777" w:rsidR="00D713A4" w:rsidRPr="00D713A4" w:rsidRDefault="00D713A4" w:rsidP="00D713A4">
            <w:pPr>
              <w:spacing w:after="0" w:line="240" w:lineRule="auto"/>
              <w:jc w:val="both"/>
              <w:rPr>
                <w:rFonts w:ascii="Segoe UI" w:eastAsia="Times New Roman" w:hAnsi="Segoe UI" w:cs="Segoe UI"/>
                <w:kern w:val="0"/>
                <w:sz w:val="21"/>
                <w:szCs w:val="21"/>
                <w:lang w:eastAsia="es-CO"/>
                <w14:ligatures w14:val="none"/>
              </w:rPr>
            </w:pPr>
            <w:r w:rsidRPr="00D713A4">
              <w:rPr>
                <w:rFonts w:ascii="Segoe UI" w:eastAsia="Times New Roman" w:hAnsi="Segoe UI" w:cs="Segoe UI"/>
                <w:b/>
                <w:bCs/>
                <w:kern w:val="0"/>
                <w:sz w:val="21"/>
                <w:szCs w:val="21"/>
                <w:lang w:eastAsia="es-CO"/>
                <w14:ligatures w14:val="none"/>
              </w:rPr>
              <w:t>Tema:</w:t>
            </w:r>
          </w:p>
        </w:tc>
        <w:tc>
          <w:tcPr>
            <w:tcW w:w="6862" w:type="dxa"/>
            <w:tcBorders>
              <w:top w:val="nil"/>
              <w:left w:val="nil"/>
              <w:bottom w:val="nil"/>
              <w:right w:val="nil"/>
            </w:tcBorders>
            <w:tcMar>
              <w:top w:w="0" w:type="dxa"/>
              <w:left w:w="105" w:type="dxa"/>
              <w:bottom w:w="0" w:type="dxa"/>
              <w:right w:w="105" w:type="dxa"/>
            </w:tcMar>
            <w:hideMark/>
          </w:tcPr>
          <w:p w14:paraId="4FDA38EB" w14:textId="77777777" w:rsidR="00D713A4" w:rsidRPr="00D713A4" w:rsidRDefault="00D713A4" w:rsidP="00D713A4">
            <w:pPr>
              <w:spacing w:after="0" w:line="240" w:lineRule="auto"/>
              <w:jc w:val="both"/>
              <w:rPr>
                <w:rFonts w:ascii="Segoe UI" w:eastAsia="Times New Roman" w:hAnsi="Segoe UI" w:cs="Segoe UI"/>
                <w:kern w:val="0"/>
                <w:sz w:val="21"/>
                <w:szCs w:val="21"/>
                <w:lang w:eastAsia="es-CO"/>
                <w14:ligatures w14:val="none"/>
              </w:rPr>
            </w:pPr>
            <w:r w:rsidRPr="00D713A4">
              <w:rPr>
                <w:rFonts w:ascii="Segoe UI" w:eastAsia="Times New Roman" w:hAnsi="Segoe UI" w:cs="Segoe UI"/>
                <w:kern w:val="0"/>
                <w:sz w:val="21"/>
                <w:szCs w:val="21"/>
                <w:lang w:eastAsia="es-CO"/>
                <w14:ligatures w14:val="none"/>
              </w:rPr>
              <w:t>Procedimiento tributario</w:t>
            </w:r>
          </w:p>
          <w:p w14:paraId="01C68011" w14:textId="77777777" w:rsidR="00D713A4" w:rsidRPr="00D713A4" w:rsidRDefault="00D713A4" w:rsidP="00D713A4">
            <w:pPr>
              <w:spacing w:after="0" w:line="240" w:lineRule="auto"/>
              <w:jc w:val="both"/>
              <w:rPr>
                <w:rFonts w:ascii="Segoe UI" w:eastAsia="Times New Roman" w:hAnsi="Segoe UI" w:cs="Segoe UI"/>
                <w:kern w:val="0"/>
                <w:sz w:val="21"/>
                <w:szCs w:val="21"/>
                <w:lang w:eastAsia="es-CO"/>
                <w14:ligatures w14:val="none"/>
              </w:rPr>
            </w:pPr>
            <w:r w:rsidRPr="00D713A4">
              <w:rPr>
                <w:rFonts w:ascii="Segoe UI" w:eastAsia="Times New Roman" w:hAnsi="Segoe UI" w:cs="Segoe UI"/>
                <w:kern w:val="0"/>
                <w:sz w:val="21"/>
                <w:szCs w:val="21"/>
                <w:lang w:eastAsia="es-CO"/>
                <w14:ligatures w14:val="none"/>
              </w:rPr>
              <w:t>Impuesto sobre la renta y complementarios</w:t>
            </w:r>
          </w:p>
          <w:p w14:paraId="372BC6D8" w14:textId="77777777" w:rsidR="00D713A4" w:rsidRPr="00D713A4" w:rsidRDefault="00D713A4" w:rsidP="00D713A4">
            <w:pPr>
              <w:spacing w:after="0" w:line="240" w:lineRule="auto"/>
              <w:jc w:val="both"/>
              <w:rPr>
                <w:rFonts w:ascii="Segoe UI" w:eastAsia="Times New Roman" w:hAnsi="Segoe UI" w:cs="Segoe UI"/>
                <w:kern w:val="0"/>
                <w:sz w:val="21"/>
                <w:szCs w:val="21"/>
                <w:lang w:eastAsia="es-CO"/>
                <w14:ligatures w14:val="none"/>
              </w:rPr>
            </w:pPr>
            <w:r w:rsidRPr="00D713A4">
              <w:rPr>
                <w:rFonts w:ascii="Segoe UI" w:eastAsia="Times New Roman" w:hAnsi="Segoe UI" w:cs="Segoe UI"/>
                <w:kern w:val="0"/>
                <w:sz w:val="21"/>
                <w:szCs w:val="21"/>
                <w:lang w:eastAsia="es-CO"/>
                <w14:ligatures w14:val="none"/>
              </w:rPr>
              <w:t>Declaración con pérdidas fiscales de sociedades.</w:t>
            </w:r>
          </w:p>
        </w:tc>
      </w:tr>
      <w:tr w:rsidR="00D713A4" w:rsidRPr="00D713A4" w14:paraId="56FA4BE0" w14:textId="77777777" w:rsidTr="00D713A4">
        <w:tc>
          <w:tcPr>
            <w:tcW w:w="2206" w:type="dxa"/>
            <w:tcBorders>
              <w:top w:val="nil"/>
              <w:left w:val="nil"/>
              <w:bottom w:val="nil"/>
              <w:right w:val="nil"/>
            </w:tcBorders>
            <w:tcMar>
              <w:top w:w="0" w:type="dxa"/>
              <w:left w:w="105" w:type="dxa"/>
              <w:bottom w:w="0" w:type="dxa"/>
              <w:right w:w="105" w:type="dxa"/>
            </w:tcMar>
            <w:hideMark/>
          </w:tcPr>
          <w:p w14:paraId="0EAD1E81" w14:textId="77777777" w:rsidR="00D713A4" w:rsidRPr="00D713A4" w:rsidRDefault="00D713A4" w:rsidP="00D713A4">
            <w:pPr>
              <w:spacing w:after="0" w:line="240" w:lineRule="auto"/>
              <w:jc w:val="both"/>
              <w:rPr>
                <w:rFonts w:ascii="Segoe UI" w:eastAsia="Times New Roman" w:hAnsi="Segoe UI" w:cs="Segoe UI"/>
                <w:kern w:val="0"/>
                <w:sz w:val="21"/>
                <w:szCs w:val="21"/>
                <w:lang w:eastAsia="es-CO"/>
                <w14:ligatures w14:val="none"/>
              </w:rPr>
            </w:pPr>
            <w:r w:rsidRPr="00D713A4">
              <w:rPr>
                <w:rFonts w:ascii="Segoe UI" w:eastAsia="Times New Roman" w:hAnsi="Segoe UI" w:cs="Segoe UI"/>
                <w:b/>
                <w:bCs/>
                <w:kern w:val="0"/>
                <w:sz w:val="21"/>
                <w:szCs w:val="21"/>
                <w:lang w:eastAsia="es-CO"/>
                <w14:ligatures w14:val="none"/>
              </w:rPr>
              <w:t>Descriptores:</w:t>
            </w:r>
          </w:p>
        </w:tc>
        <w:tc>
          <w:tcPr>
            <w:tcW w:w="6862" w:type="dxa"/>
            <w:tcBorders>
              <w:top w:val="nil"/>
              <w:left w:val="nil"/>
              <w:bottom w:val="nil"/>
              <w:right w:val="nil"/>
            </w:tcBorders>
            <w:tcMar>
              <w:top w:w="0" w:type="dxa"/>
              <w:left w:w="105" w:type="dxa"/>
              <w:bottom w:w="0" w:type="dxa"/>
              <w:right w:w="105" w:type="dxa"/>
            </w:tcMar>
            <w:hideMark/>
          </w:tcPr>
          <w:p w14:paraId="2277FDA0" w14:textId="77777777" w:rsidR="00D713A4" w:rsidRPr="00D713A4" w:rsidRDefault="00D713A4" w:rsidP="00D713A4">
            <w:pPr>
              <w:spacing w:after="0" w:line="240" w:lineRule="auto"/>
              <w:jc w:val="both"/>
              <w:rPr>
                <w:rFonts w:ascii="Segoe UI" w:eastAsia="Times New Roman" w:hAnsi="Segoe UI" w:cs="Segoe UI"/>
                <w:kern w:val="0"/>
                <w:sz w:val="21"/>
                <w:szCs w:val="21"/>
                <w:lang w:eastAsia="es-CO"/>
                <w14:ligatures w14:val="none"/>
              </w:rPr>
            </w:pPr>
            <w:r w:rsidRPr="00D713A4">
              <w:rPr>
                <w:rFonts w:ascii="Segoe UI" w:eastAsia="Times New Roman" w:hAnsi="Segoe UI" w:cs="Segoe UI"/>
                <w:kern w:val="0"/>
                <w:sz w:val="21"/>
                <w:szCs w:val="21"/>
                <w:lang w:eastAsia="es-CO"/>
                <w14:ligatures w14:val="none"/>
              </w:rPr>
              <w:t>Firmeza de las declaraciones que imputan pérdidas fiscales</w:t>
            </w:r>
          </w:p>
          <w:p w14:paraId="7049B6E4" w14:textId="77777777" w:rsidR="00D713A4" w:rsidRPr="00D713A4" w:rsidRDefault="00D713A4" w:rsidP="00D713A4">
            <w:pPr>
              <w:spacing w:after="0" w:line="240" w:lineRule="auto"/>
              <w:jc w:val="both"/>
              <w:rPr>
                <w:rFonts w:ascii="Segoe UI" w:eastAsia="Times New Roman" w:hAnsi="Segoe UI" w:cs="Segoe UI"/>
                <w:kern w:val="0"/>
                <w:sz w:val="21"/>
                <w:szCs w:val="21"/>
                <w:lang w:eastAsia="es-CO"/>
                <w14:ligatures w14:val="none"/>
              </w:rPr>
            </w:pPr>
            <w:r w:rsidRPr="00D713A4">
              <w:rPr>
                <w:rFonts w:ascii="Segoe UI" w:eastAsia="Times New Roman" w:hAnsi="Segoe UI" w:cs="Segoe UI"/>
                <w:kern w:val="0"/>
                <w:sz w:val="21"/>
                <w:szCs w:val="21"/>
                <w:lang w:eastAsia="es-CO"/>
                <w14:ligatures w14:val="none"/>
              </w:rPr>
              <w:t>Corrección de las declaraciones que imputan pérdidas fiscales</w:t>
            </w:r>
          </w:p>
        </w:tc>
      </w:tr>
      <w:tr w:rsidR="00D713A4" w:rsidRPr="00D713A4" w14:paraId="0F513A5B" w14:textId="77777777" w:rsidTr="00D713A4">
        <w:tc>
          <w:tcPr>
            <w:tcW w:w="2206" w:type="dxa"/>
            <w:tcBorders>
              <w:top w:val="nil"/>
              <w:left w:val="nil"/>
              <w:bottom w:val="nil"/>
              <w:right w:val="nil"/>
            </w:tcBorders>
            <w:tcMar>
              <w:top w:w="0" w:type="dxa"/>
              <w:left w:w="105" w:type="dxa"/>
              <w:bottom w:w="0" w:type="dxa"/>
              <w:right w:w="105" w:type="dxa"/>
            </w:tcMar>
            <w:hideMark/>
          </w:tcPr>
          <w:p w14:paraId="5B3DC4BD" w14:textId="77777777" w:rsidR="00D713A4" w:rsidRPr="00D713A4" w:rsidRDefault="00D713A4" w:rsidP="00D713A4">
            <w:pPr>
              <w:spacing w:after="0" w:line="240" w:lineRule="auto"/>
              <w:jc w:val="both"/>
              <w:rPr>
                <w:rFonts w:ascii="Segoe UI" w:eastAsia="Times New Roman" w:hAnsi="Segoe UI" w:cs="Segoe UI"/>
                <w:kern w:val="0"/>
                <w:sz w:val="21"/>
                <w:szCs w:val="21"/>
                <w:lang w:eastAsia="es-CO"/>
                <w14:ligatures w14:val="none"/>
              </w:rPr>
            </w:pPr>
            <w:r w:rsidRPr="00D713A4">
              <w:rPr>
                <w:rFonts w:ascii="Segoe UI" w:eastAsia="Times New Roman" w:hAnsi="Segoe UI" w:cs="Segoe UI"/>
                <w:b/>
                <w:bCs/>
                <w:kern w:val="0"/>
                <w:sz w:val="21"/>
                <w:szCs w:val="21"/>
                <w:lang w:eastAsia="es-CO"/>
                <w14:ligatures w14:val="none"/>
              </w:rPr>
              <w:t>Fuentes formales:</w:t>
            </w:r>
          </w:p>
        </w:tc>
        <w:tc>
          <w:tcPr>
            <w:tcW w:w="6862" w:type="dxa"/>
            <w:tcBorders>
              <w:top w:val="nil"/>
              <w:left w:val="nil"/>
              <w:bottom w:val="nil"/>
              <w:right w:val="nil"/>
            </w:tcBorders>
            <w:tcMar>
              <w:top w:w="0" w:type="dxa"/>
              <w:left w:w="105" w:type="dxa"/>
              <w:bottom w:w="0" w:type="dxa"/>
              <w:right w:w="105" w:type="dxa"/>
            </w:tcMar>
            <w:hideMark/>
          </w:tcPr>
          <w:p w14:paraId="6BB163DE" w14:textId="77777777" w:rsidR="00D713A4" w:rsidRPr="00D713A4" w:rsidRDefault="00D713A4" w:rsidP="00D713A4">
            <w:pPr>
              <w:spacing w:after="0" w:line="240" w:lineRule="auto"/>
              <w:jc w:val="both"/>
              <w:rPr>
                <w:rFonts w:ascii="Segoe UI" w:eastAsia="Times New Roman" w:hAnsi="Segoe UI" w:cs="Segoe UI"/>
                <w:kern w:val="0"/>
                <w:sz w:val="21"/>
                <w:szCs w:val="21"/>
                <w:lang w:eastAsia="es-CO"/>
                <w14:ligatures w14:val="none"/>
              </w:rPr>
            </w:pPr>
            <w:r w:rsidRPr="00D713A4">
              <w:rPr>
                <w:rFonts w:ascii="Segoe UI" w:eastAsia="Times New Roman" w:hAnsi="Segoe UI" w:cs="Segoe UI"/>
                <w:kern w:val="0"/>
                <w:sz w:val="21"/>
                <w:szCs w:val="21"/>
                <w:lang w:eastAsia="es-CO"/>
                <w14:ligatures w14:val="none"/>
              </w:rPr>
              <w:t>Artículos </w:t>
            </w:r>
            <w:hyperlink r:id="rId5" w:tooltip="Estatuto Tributario CETA" w:history="1">
              <w:r w:rsidRPr="00D713A4">
                <w:rPr>
                  <w:rFonts w:ascii="Segoe UI" w:eastAsia="Times New Roman" w:hAnsi="Segoe UI" w:cs="Segoe UI"/>
                  <w:color w:val="0645AD"/>
                  <w:kern w:val="0"/>
                  <w:sz w:val="21"/>
                  <w:szCs w:val="21"/>
                  <w:u w:val="single"/>
                  <w:lang w:eastAsia="es-CO"/>
                  <w14:ligatures w14:val="none"/>
                </w:rPr>
                <w:t>147</w:t>
              </w:r>
            </w:hyperlink>
            <w:r w:rsidRPr="00D713A4">
              <w:rPr>
                <w:rFonts w:ascii="Segoe UI" w:eastAsia="Times New Roman" w:hAnsi="Segoe UI" w:cs="Segoe UI"/>
                <w:kern w:val="0"/>
                <w:sz w:val="21"/>
                <w:szCs w:val="21"/>
                <w:lang w:eastAsia="es-CO"/>
                <w14:ligatures w14:val="none"/>
              </w:rPr>
              <w:t>, </w:t>
            </w:r>
            <w:hyperlink r:id="rId6" w:tooltip="Estatuto Tributario CETA" w:history="1">
              <w:r w:rsidRPr="00D713A4">
                <w:rPr>
                  <w:rFonts w:ascii="Segoe UI" w:eastAsia="Times New Roman" w:hAnsi="Segoe UI" w:cs="Segoe UI"/>
                  <w:color w:val="0645AD"/>
                  <w:kern w:val="0"/>
                  <w:sz w:val="21"/>
                  <w:szCs w:val="21"/>
                  <w:u w:val="single"/>
                  <w:lang w:eastAsia="es-CO"/>
                  <w14:ligatures w14:val="none"/>
                </w:rPr>
                <w:t>588</w:t>
              </w:r>
            </w:hyperlink>
            <w:r w:rsidRPr="00D713A4">
              <w:rPr>
                <w:rFonts w:ascii="Segoe UI" w:eastAsia="Times New Roman" w:hAnsi="Segoe UI" w:cs="Segoe UI"/>
                <w:kern w:val="0"/>
                <w:sz w:val="21"/>
                <w:szCs w:val="21"/>
                <w:lang w:eastAsia="es-CO"/>
                <w14:ligatures w14:val="none"/>
              </w:rPr>
              <w:t> y </w:t>
            </w:r>
            <w:hyperlink r:id="rId7" w:tooltip="Estatuto Tributario CETA" w:history="1">
              <w:r w:rsidRPr="00D713A4">
                <w:rPr>
                  <w:rFonts w:ascii="Segoe UI" w:eastAsia="Times New Roman" w:hAnsi="Segoe UI" w:cs="Segoe UI"/>
                  <w:color w:val="0645AD"/>
                  <w:kern w:val="0"/>
                  <w:sz w:val="21"/>
                  <w:szCs w:val="21"/>
                  <w:u w:val="single"/>
                  <w:lang w:eastAsia="es-CO"/>
                  <w14:ligatures w14:val="none"/>
                </w:rPr>
                <w:t>714</w:t>
              </w:r>
            </w:hyperlink>
            <w:r w:rsidRPr="00D713A4">
              <w:rPr>
                <w:rFonts w:ascii="Segoe UI" w:eastAsia="Times New Roman" w:hAnsi="Segoe UI" w:cs="Segoe UI"/>
                <w:kern w:val="0"/>
                <w:sz w:val="21"/>
                <w:szCs w:val="21"/>
                <w:lang w:eastAsia="es-CO"/>
                <w14:ligatures w14:val="none"/>
              </w:rPr>
              <w:t> del Estatuto Tributario.</w:t>
            </w:r>
          </w:p>
        </w:tc>
      </w:tr>
    </w:tbl>
    <w:p w14:paraId="3A386E87"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21F51719"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5283DCB1"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Cordial saludo.</w:t>
      </w:r>
    </w:p>
    <w:p w14:paraId="27B65E80"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1A541311"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1. Esta Subdirección está facultada para absolver las consultas escritas, presentadas de manera general, sobre la interpretación y aplicación de las normas tributarias, aduaneras y de fiscalización cambiaria, en lo de competencia de la DIAN</w:t>
      </w:r>
      <w:hyperlink r:id="rId8" w:anchor="cite_note-1" w:history="1">
        <w:r w:rsidRPr="00D713A4">
          <w:rPr>
            <w:rFonts w:ascii="Segoe UI" w:eastAsia="Times New Roman" w:hAnsi="Segoe UI" w:cs="Segoe UI"/>
            <w:color w:val="0645AD"/>
            <w:kern w:val="0"/>
            <w:sz w:val="21"/>
            <w:szCs w:val="21"/>
            <w:vertAlign w:val="superscript"/>
            <w:lang w:eastAsia="es-CO"/>
            <w14:ligatures w14:val="none"/>
          </w:rPr>
          <w:t>1</w:t>
        </w:r>
      </w:hyperlink>
      <w:r w:rsidRPr="00D713A4">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9" w:anchor="cite_note-2" w:history="1">
        <w:r w:rsidRPr="00D713A4">
          <w:rPr>
            <w:rFonts w:ascii="Segoe UI" w:eastAsia="Times New Roman" w:hAnsi="Segoe UI" w:cs="Segoe UI"/>
            <w:color w:val="0645AD"/>
            <w:kern w:val="0"/>
            <w:sz w:val="21"/>
            <w:szCs w:val="21"/>
            <w:vertAlign w:val="superscript"/>
            <w:lang w:eastAsia="es-CO"/>
            <w14:ligatures w14:val="none"/>
          </w:rPr>
          <w:t>2</w:t>
        </w:r>
      </w:hyperlink>
      <w:r w:rsidRPr="00D713A4">
        <w:rPr>
          <w:rFonts w:ascii="Segoe UI" w:eastAsia="Times New Roman" w:hAnsi="Segoe UI" w:cs="Segoe UI"/>
          <w:color w:val="000000"/>
          <w:kern w:val="0"/>
          <w:sz w:val="21"/>
          <w:szCs w:val="21"/>
          <w:lang w:eastAsia="es-CO"/>
          <w14:ligatures w14:val="none"/>
        </w:rPr>
        <w:t>.</w:t>
      </w:r>
    </w:p>
    <w:p w14:paraId="266C405B"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21ED99FC"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b/>
          <w:bCs/>
          <w:color w:val="000000"/>
          <w:kern w:val="0"/>
          <w:sz w:val="21"/>
          <w:szCs w:val="21"/>
          <w:lang w:eastAsia="es-CO"/>
          <w14:ligatures w14:val="none"/>
        </w:rPr>
        <w:t>Problema Jurídico No. 1:</w:t>
      </w:r>
    </w:p>
    <w:p w14:paraId="3339117E"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2F60EA69"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2. ¿Cómo se interpreta el término de firmeza de las declaraciones de renta y sus correcciones en las que se determinen o compensen pérdidas fiscales, conforme al inciso 7 del </w:t>
      </w:r>
      <w:hyperlink r:id="rId10" w:tooltip="Estatuto Tributario CETA" w:history="1">
        <w:r w:rsidRPr="00D713A4">
          <w:rPr>
            <w:rFonts w:ascii="Segoe UI" w:eastAsia="Times New Roman" w:hAnsi="Segoe UI" w:cs="Segoe UI"/>
            <w:color w:val="0645AD"/>
            <w:kern w:val="0"/>
            <w:sz w:val="21"/>
            <w:szCs w:val="21"/>
            <w:u w:val="single"/>
            <w:lang w:eastAsia="es-CO"/>
            <w14:ligatures w14:val="none"/>
          </w:rPr>
          <w:t>artículo 147</w:t>
        </w:r>
      </w:hyperlink>
      <w:r w:rsidRPr="00D713A4">
        <w:rPr>
          <w:rFonts w:ascii="Segoe UI" w:eastAsia="Times New Roman" w:hAnsi="Segoe UI" w:cs="Segoe UI"/>
          <w:color w:val="000000"/>
          <w:kern w:val="0"/>
          <w:sz w:val="21"/>
          <w:szCs w:val="21"/>
          <w:lang w:eastAsia="es-CO"/>
          <w14:ligatures w14:val="none"/>
        </w:rPr>
        <w:t> del Estatuto Tributario (ET), cuando la corrección genera renta líquida gravable?</w:t>
      </w:r>
    </w:p>
    <w:p w14:paraId="340D9D9B"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09640686"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b/>
          <w:bCs/>
          <w:color w:val="000000"/>
          <w:kern w:val="0"/>
          <w:sz w:val="21"/>
          <w:szCs w:val="21"/>
          <w:lang w:eastAsia="es-CO"/>
          <w14:ligatures w14:val="none"/>
        </w:rPr>
        <w:t>Tesis Jurídica No. 1:</w:t>
      </w:r>
    </w:p>
    <w:p w14:paraId="5D5AF388"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053D92BC"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3. Si una corrección elimina las pérdidas fiscales y genera renta líquida gravable, la declaración corregida deja de estar sujeta al término especial de firmeza de seis años y pasa a regirse por el término general de firmeza de tres (3) años conforme lo dispone el </w:t>
      </w:r>
      <w:hyperlink r:id="rId11" w:tooltip="Estatuto Tributario CETA" w:history="1">
        <w:r w:rsidRPr="00D713A4">
          <w:rPr>
            <w:rFonts w:ascii="Segoe UI" w:eastAsia="Times New Roman" w:hAnsi="Segoe UI" w:cs="Segoe UI"/>
            <w:color w:val="0645AD"/>
            <w:kern w:val="0"/>
            <w:sz w:val="21"/>
            <w:szCs w:val="21"/>
            <w:u w:val="single"/>
            <w:lang w:eastAsia="es-CO"/>
            <w14:ligatures w14:val="none"/>
          </w:rPr>
          <w:t>artículo 714</w:t>
        </w:r>
      </w:hyperlink>
      <w:r w:rsidRPr="00D713A4">
        <w:rPr>
          <w:rFonts w:ascii="Segoe UI" w:eastAsia="Times New Roman" w:hAnsi="Segoe UI" w:cs="Segoe UI"/>
          <w:color w:val="000000"/>
          <w:kern w:val="0"/>
          <w:sz w:val="21"/>
          <w:szCs w:val="21"/>
          <w:lang w:eastAsia="es-CO"/>
          <w14:ligatures w14:val="none"/>
        </w:rPr>
        <w:t> del ET.</w:t>
      </w:r>
    </w:p>
    <w:p w14:paraId="2632E01C"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08CC534A"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b/>
          <w:bCs/>
          <w:color w:val="000000"/>
          <w:kern w:val="0"/>
          <w:sz w:val="21"/>
          <w:szCs w:val="21"/>
          <w:lang w:eastAsia="es-CO"/>
          <w14:ligatures w14:val="none"/>
        </w:rPr>
        <w:t>Fundamentación:</w:t>
      </w:r>
    </w:p>
    <w:p w14:paraId="21A3EB71"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288C1250"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4. El </w:t>
      </w:r>
      <w:hyperlink r:id="rId12" w:tooltip="Estatuto Tributario CETA" w:history="1">
        <w:r w:rsidRPr="00D713A4">
          <w:rPr>
            <w:rFonts w:ascii="Segoe UI" w:eastAsia="Times New Roman" w:hAnsi="Segoe UI" w:cs="Segoe UI"/>
            <w:color w:val="0645AD"/>
            <w:kern w:val="0"/>
            <w:sz w:val="21"/>
            <w:szCs w:val="21"/>
            <w:u w:val="single"/>
            <w:lang w:eastAsia="es-CO"/>
            <w14:ligatures w14:val="none"/>
          </w:rPr>
          <w:t>artículo 147</w:t>
        </w:r>
      </w:hyperlink>
      <w:r w:rsidRPr="00D713A4">
        <w:rPr>
          <w:rFonts w:ascii="Segoe UI" w:eastAsia="Times New Roman" w:hAnsi="Segoe UI" w:cs="Segoe UI"/>
          <w:color w:val="000000"/>
          <w:kern w:val="0"/>
          <w:sz w:val="21"/>
          <w:szCs w:val="21"/>
          <w:lang w:eastAsia="es-CO"/>
          <w14:ligatures w14:val="none"/>
        </w:rPr>
        <w:t> del ET, modificado por el artículo 89 de la Ley 1819 de 2016, establece un término de firmeza de seis (6) años para las declaraciones de renta y sus correcciones en las que se determinen o compensen pérdidas fiscales. Este término especial tiene como finalidad otorgar a la DIAN un plazo extendido para verificar la existencia, compensación y arrastre de pérdidas fiscales, dado su impacto en la determinación del impuesto sobre la renta.</w:t>
      </w:r>
    </w:p>
    <w:p w14:paraId="20A74CC0"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4D381261"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xml:space="preserve">5. Sin embargo, cuando una corrección elimina las pérdidas fiscales declaradas inicialmente y genera renta líquida gravable, la declaración corregida </w:t>
      </w:r>
      <w:proofErr w:type="gramStart"/>
      <w:r w:rsidRPr="00D713A4">
        <w:rPr>
          <w:rFonts w:ascii="Segoe UI" w:eastAsia="Times New Roman" w:hAnsi="Segoe UI" w:cs="Segoe UI"/>
          <w:color w:val="000000"/>
          <w:kern w:val="0"/>
          <w:sz w:val="21"/>
          <w:szCs w:val="21"/>
          <w:lang w:eastAsia="es-CO"/>
          <w14:ligatures w14:val="none"/>
        </w:rPr>
        <w:t>en virtud a</w:t>
      </w:r>
      <w:proofErr w:type="gramEnd"/>
      <w:r w:rsidRPr="00D713A4">
        <w:rPr>
          <w:rFonts w:ascii="Segoe UI" w:eastAsia="Times New Roman" w:hAnsi="Segoe UI" w:cs="Segoe UI"/>
          <w:color w:val="000000"/>
          <w:kern w:val="0"/>
          <w:sz w:val="21"/>
          <w:szCs w:val="21"/>
          <w:lang w:eastAsia="es-CO"/>
          <w14:ligatures w14:val="none"/>
        </w:rPr>
        <w:t xml:space="preserve"> lo dispuesto en el </w:t>
      </w:r>
      <w:hyperlink r:id="rId13" w:tooltip="Estatuto Tributario CETA" w:history="1">
        <w:r w:rsidRPr="00D713A4">
          <w:rPr>
            <w:rFonts w:ascii="Segoe UI" w:eastAsia="Times New Roman" w:hAnsi="Segoe UI" w:cs="Segoe UI"/>
            <w:color w:val="0645AD"/>
            <w:kern w:val="0"/>
            <w:sz w:val="21"/>
            <w:szCs w:val="21"/>
            <w:u w:val="single"/>
            <w:lang w:eastAsia="es-CO"/>
            <w14:ligatures w14:val="none"/>
          </w:rPr>
          <w:t>artículo 588</w:t>
        </w:r>
      </w:hyperlink>
      <w:r w:rsidRPr="00D713A4">
        <w:rPr>
          <w:rFonts w:ascii="Segoe UI" w:eastAsia="Times New Roman" w:hAnsi="Segoe UI" w:cs="Segoe UI"/>
          <w:color w:val="000000"/>
          <w:kern w:val="0"/>
          <w:sz w:val="21"/>
          <w:szCs w:val="21"/>
          <w:lang w:eastAsia="es-CO"/>
          <w14:ligatures w14:val="none"/>
        </w:rPr>
        <w:t> ET., modifica su naturaleza tributaria. En este escenario, el término especial de firmeza de seis (6) años del </w:t>
      </w:r>
      <w:hyperlink r:id="rId14" w:tooltip="Estatuto Tributario CETA" w:history="1">
        <w:r w:rsidRPr="00D713A4">
          <w:rPr>
            <w:rFonts w:ascii="Segoe UI" w:eastAsia="Times New Roman" w:hAnsi="Segoe UI" w:cs="Segoe UI"/>
            <w:color w:val="0645AD"/>
            <w:kern w:val="0"/>
            <w:sz w:val="21"/>
            <w:szCs w:val="21"/>
            <w:u w:val="single"/>
            <w:lang w:eastAsia="es-CO"/>
            <w14:ligatures w14:val="none"/>
          </w:rPr>
          <w:t>artículo 147</w:t>
        </w:r>
      </w:hyperlink>
      <w:r w:rsidRPr="00D713A4">
        <w:rPr>
          <w:rFonts w:ascii="Segoe UI" w:eastAsia="Times New Roman" w:hAnsi="Segoe UI" w:cs="Segoe UI"/>
          <w:color w:val="000000"/>
          <w:kern w:val="0"/>
          <w:sz w:val="21"/>
          <w:szCs w:val="21"/>
          <w:lang w:eastAsia="es-CO"/>
          <w14:ligatures w14:val="none"/>
        </w:rPr>
        <w:t> del ET deja de ser aplicable. En cambio, se aplica el término general de firmeza previsto en el </w:t>
      </w:r>
      <w:hyperlink r:id="rId15" w:tooltip="Estatuto Tributario CETA" w:history="1">
        <w:r w:rsidRPr="00D713A4">
          <w:rPr>
            <w:rFonts w:ascii="Segoe UI" w:eastAsia="Times New Roman" w:hAnsi="Segoe UI" w:cs="Segoe UI"/>
            <w:color w:val="0645AD"/>
            <w:kern w:val="0"/>
            <w:sz w:val="21"/>
            <w:szCs w:val="21"/>
            <w:u w:val="single"/>
            <w:lang w:eastAsia="es-CO"/>
            <w14:ligatures w14:val="none"/>
          </w:rPr>
          <w:t>artículo 714</w:t>
        </w:r>
      </w:hyperlink>
      <w:r w:rsidRPr="00D713A4">
        <w:rPr>
          <w:rFonts w:ascii="Segoe UI" w:eastAsia="Times New Roman" w:hAnsi="Segoe UI" w:cs="Segoe UI"/>
          <w:color w:val="000000"/>
          <w:kern w:val="0"/>
          <w:sz w:val="21"/>
          <w:szCs w:val="21"/>
          <w:lang w:eastAsia="es-CO"/>
          <w14:ligatures w14:val="none"/>
        </w:rPr>
        <w:t> del ET, que es de tres (3) años, contados desde el vencimiento para presentar la declaración inicial.</w:t>
      </w:r>
    </w:p>
    <w:p w14:paraId="7B25E8A7"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785B5191"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6. Esta interpretación se fundamenta en el principio según el cual la corrección reemplaza para todos los efectos tributarios la declaración inicial, como lo establece el </w:t>
      </w:r>
      <w:hyperlink r:id="rId16" w:tooltip="Estatuto Tributario CETA" w:history="1">
        <w:r w:rsidRPr="00D713A4">
          <w:rPr>
            <w:rFonts w:ascii="Segoe UI" w:eastAsia="Times New Roman" w:hAnsi="Segoe UI" w:cs="Segoe UI"/>
            <w:color w:val="0645AD"/>
            <w:kern w:val="0"/>
            <w:sz w:val="21"/>
            <w:szCs w:val="21"/>
            <w:u w:val="single"/>
            <w:lang w:eastAsia="es-CO"/>
            <w14:ligatures w14:val="none"/>
          </w:rPr>
          <w:t>artículo 588</w:t>
        </w:r>
      </w:hyperlink>
      <w:r w:rsidRPr="00D713A4">
        <w:rPr>
          <w:rFonts w:ascii="Segoe UI" w:eastAsia="Times New Roman" w:hAnsi="Segoe UI" w:cs="Segoe UI"/>
          <w:color w:val="000000"/>
          <w:kern w:val="0"/>
          <w:sz w:val="21"/>
          <w:szCs w:val="21"/>
          <w:lang w:eastAsia="es-CO"/>
          <w14:ligatures w14:val="none"/>
        </w:rPr>
        <w:t> del ET y que, para el caso concreto sobre la eliminación de las pérdidas fiscales, ha sido confirmada en el Oficio No. 021409 del 14 de agosto de 2018</w:t>
      </w:r>
      <w:hyperlink r:id="rId17" w:anchor="cite_note-3" w:history="1">
        <w:r w:rsidRPr="00D713A4">
          <w:rPr>
            <w:rFonts w:ascii="Segoe UI" w:eastAsia="Times New Roman" w:hAnsi="Segoe UI" w:cs="Segoe UI"/>
            <w:color w:val="0645AD"/>
            <w:kern w:val="0"/>
            <w:sz w:val="21"/>
            <w:szCs w:val="21"/>
            <w:vertAlign w:val="superscript"/>
            <w:lang w:eastAsia="es-CO"/>
            <w14:ligatures w14:val="none"/>
          </w:rPr>
          <w:t>3</w:t>
        </w:r>
      </w:hyperlink>
      <w:r w:rsidRPr="00D713A4">
        <w:rPr>
          <w:rFonts w:ascii="Segoe UI" w:eastAsia="Times New Roman" w:hAnsi="Segoe UI" w:cs="Segoe UI"/>
          <w:color w:val="000000"/>
          <w:kern w:val="0"/>
          <w:sz w:val="21"/>
          <w:szCs w:val="21"/>
          <w:lang w:eastAsia="es-CO"/>
          <w14:ligatures w14:val="none"/>
        </w:rPr>
        <w:t>.</w:t>
      </w:r>
    </w:p>
    <w:p w14:paraId="62550E1A"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lastRenderedPageBreak/>
        <w:t> </w:t>
      </w:r>
    </w:p>
    <w:p w14:paraId="740AE0F8"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7. En consecuencia, si la corrección elimina las pérdidas fiscales, esta deja de estar sujeta al término especial de firmeza del </w:t>
      </w:r>
      <w:hyperlink r:id="rId18" w:tooltip="Estatuto Tributario CETA" w:history="1">
        <w:r w:rsidRPr="00D713A4">
          <w:rPr>
            <w:rFonts w:ascii="Segoe UI" w:eastAsia="Times New Roman" w:hAnsi="Segoe UI" w:cs="Segoe UI"/>
            <w:color w:val="0645AD"/>
            <w:kern w:val="0"/>
            <w:sz w:val="21"/>
            <w:szCs w:val="21"/>
            <w:u w:val="single"/>
            <w:lang w:eastAsia="es-CO"/>
            <w14:ligatures w14:val="none"/>
          </w:rPr>
          <w:t>artículo 147</w:t>
        </w:r>
      </w:hyperlink>
      <w:r w:rsidRPr="00D713A4">
        <w:rPr>
          <w:rFonts w:ascii="Segoe UI" w:eastAsia="Times New Roman" w:hAnsi="Segoe UI" w:cs="Segoe UI"/>
          <w:color w:val="000000"/>
          <w:kern w:val="0"/>
          <w:sz w:val="21"/>
          <w:szCs w:val="21"/>
          <w:lang w:eastAsia="es-CO"/>
          <w14:ligatures w14:val="none"/>
        </w:rPr>
        <w:t> ET.</w:t>
      </w:r>
    </w:p>
    <w:p w14:paraId="60658F04"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332C6F49"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b/>
          <w:bCs/>
          <w:color w:val="000000"/>
          <w:kern w:val="0"/>
          <w:sz w:val="21"/>
          <w:szCs w:val="21"/>
          <w:lang w:eastAsia="es-CO"/>
          <w14:ligatures w14:val="none"/>
        </w:rPr>
        <w:t>Problema Jurídico No. 2:</w:t>
      </w:r>
    </w:p>
    <w:p w14:paraId="4AB60D66"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452CDFA4"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8. En caso de que el contribuyente presente una corrección eliminando las pérdidas fiscales mientras se encuentra en curso un proceso de fiscalización bajo el término especial de firmeza de seis (6) años, ¿cómo afecta esta corrección al término de firmeza y a la facultad de fiscalización de la DIAN? ¿cómo debe interpretarse la conjunción “y” en el inciso que refiere a las declaraciones de renta “y sus correcciones”?</w:t>
      </w:r>
    </w:p>
    <w:p w14:paraId="658C6B65"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5700F335"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b/>
          <w:bCs/>
          <w:color w:val="000000"/>
          <w:kern w:val="0"/>
          <w:sz w:val="21"/>
          <w:szCs w:val="21"/>
          <w:lang w:eastAsia="es-CO"/>
          <w14:ligatures w14:val="none"/>
        </w:rPr>
        <w:t>Tesis Jurídica No. 2:</w:t>
      </w:r>
    </w:p>
    <w:p w14:paraId="5A7F1936"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58F7081A"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9. Cuando una corrección elimina las pérdidas fiscales mientras se encuentra en curso un proceso de fiscalización bajo el término de firmeza especial, la corrección reemplaza a la declaración inicial para todos los efectos.</w:t>
      </w:r>
    </w:p>
    <w:p w14:paraId="17FEC555"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23E51955"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10. Por su parte, la conjunción “y” en el inciso 7 del </w:t>
      </w:r>
      <w:hyperlink r:id="rId19" w:tooltip="Estatuto Tributario CETA" w:history="1">
        <w:r w:rsidRPr="00D713A4">
          <w:rPr>
            <w:rFonts w:ascii="Segoe UI" w:eastAsia="Times New Roman" w:hAnsi="Segoe UI" w:cs="Segoe UI"/>
            <w:color w:val="0645AD"/>
            <w:kern w:val="0"/>
            <w:sz w:val="21"/>
            <w:szCs w:val="21"/>
            <w:u w:val="single"/>
            <w:lang w:eastAsia="es-CO"/>
            <w14:ligatures w14:val="none"/>
          </w:rPr>
          <w:t>artículo 147</w:t>
        </w:r>
      </w:hyperlink>
      <w:r w:rsidRPr="00D713A4">
        <w:rPr>
          <w:rFonts w:ascii="Segoe UI" w:eastAsia="Times New Roman" w:hAnsi="Segoe UI" w:cs="Segoe UI"/>
          <w:color w:val="000000"/>
          <w:kern w:val="0"/>
          <w:sz w:val="21"/>
          <w:szCs w:val="21"/>
          <w:lang w:eastAsia="es-CO"/>
          <w14:ligatures w14:val="none"/>
        </w:rPr>
        <w:t> ET., implica que la declaración inicial y su corrección están vinculadas al mismo término de firmeza siempre que persistan las pérdidas fiscales.</w:t>
      </w:r>
    </w:p>
    <w:p w14:paraId="2709A859"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388C2956"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b/>
          <w:bCs/>
          <w:color w:val="000000"/>
          <w:kern w:val="0"/>
          <w:sz w:val="21"/>
          <w:szCs w:val="21"/>
          <w:lang w:eastAsia="es-CO"/>
          <w14:ligatures w14:val="none"/>
        </w:rPr>
        <w:t>Fundamentación</w:t>
      </w:r>
    </w:p>
    <w:p w14:paraId="741A9B43"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3BC33D12"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11. Cuando la administración tributaria adelanta un proceso de fiscalización sobre una declaración inicial con pérdidas fiscales bajo el término especial de seis (6) años y el contribuyente presenta una corrección que elimina las pérdidas fiscales, el término de firmeza de la corrección sustituye al término de la declaración inicialmente presentada.</w:t>
      </w:r>
    </w:p>
    <w:p w14:paraId="4C0AAC63"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50842B6E"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12. De modo que, si la corrección genera renta líquida y elimina las pérdidas fiscales, la fiscalización debe ajustarse al nuevo término de firmeza de tres (3) años desde el vencimiento de la declaración inicial, siempre que esta se hubiere presentado oportunamente. De lo contrario, el término deberá contarse desde que se presentó extemporáneamente tal como lo dispone el </w:t>
      </w:r>
      <w:hyperlink r:id="rId20" w:tooltip="Estatuto Tributario CETA" w:history="1">
        <w:r w:rsidRPr="00D713A4">
          <w:rPr>
            <w:rFonts w:ascii="Segoe UI" w:eastAsia="Times New Roman" w:hAnsi="Segoe UI" w:cs="Segoe UI"/>
            <w:color w:val="0645AD"/>
            <w:kern w:val="0"/>
            <w:sz w:val="21"/>
            <w:szCs w:val="21"/>
            <w:u w:val="single"/>
            <w:lang w:eastAsia="es-CO"/>
            <w14:ligatures w14:val="none"/>
          </w:rPr>
          <w:t>artículo 714</w:t>
        </w:r>
      </w:hyperlink>
      <w:r w:rsidRPr="00D713A4">
        <w:rPr>
          <w:rFonts w:ascii="Segoe UI" w:eastAsia="Times New Roman" w:hAnsi="Segoe UI" w:cs="Segoe UI"/>
          <w:color w:val="000000"/>
          <w:kern w:val="0"/>
          <w:sz w:val="21"/>
          <w:szCs w:val="21"/>
          <w:lang w:eastAsia="es-CO"/>
          <w14:ligatures w14:val="none"/>
        </w:rPr>
        <w:t> ET.</w:t>
      </w:r>
    </w:p>
    <w:p w14:paraId="7982F027"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2F43F62A"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13. Por ende, si al momento de presentar la corrección que elimina las pérdidas fiscales, el término general de firmeza de tres (3) años ya ha vencido, la administración pierde competencia temporal para continuar con la investigación, puesto que la declaración no estaría prevista dentro del término especial de que trata el </w:t>
      </w:r>
      <w:hyperlink r:id="rId21" w:tooltip="Estatuto Tributario CETA" w:history="1">
        <w:r w:rsidRPr="00D713A4">
          <w:rPr>
            <w:rFonts w:ascii="Segoe UI" w:eastAsia="Times New Roman" w:hAnsi="Segoe UI" w:cs="Segoe UI"/>
            <w:color w:val="0645AD"/>
            <w:kern w:val="0"/>
            <w:sz w:val="21"/>
            <w:szCs w:val="21"/>
            <w:u w:val="single"/>
            <w:lang w:eastAsia="es-CO"/>
            <w14:ligatures w14:val="none"/>
          </w:rPr>
          <w:t>artículo 147</w:t>
        </w:r>
      </w:hyperlink>
      <w:r w:rsidRPr="00D713A4">
        <w:rPr>
          <w:rFonts w:ascii="Segoe UI" w:eastAsia="Times New Roman" w:hAnsi="Segoe UI" w:cs="Segoe UI"/>
          <w:color w:val="000000"/>
          <w:kern w:val="0"/>
          <w:sz w:val="21"/>
          <w:szCs w:val="21"/>
          <w:lang w:eastAsia="es-CO"/>
          <w14:ligatures w14:val="none"/>
        </w:rPr>
        <w:t> ET.</w:t>
      </w:r>
    </w:p>
    <w:p w14:paraId="5D47759C"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1977BF09"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14. Ahora bien, respecto de la conjunción “y” en el inciso 7 del </w:t>
      </w:r>
      <w:hyperlink r:id="rId22" w:tooltip="Estatuto Tributario CETA" w:history="1">
        <w:r w:rsidRPr="00D713A4">
          <w:rPr>
            <w:rFonts w:ascii="Segoe UI" w:eastAsia="Times New Roman" w:hAnsi="Segoe UI" w:cs="Segoe UI"/>
            <w:color w:val="0645AD"/>
            <w:kern w:val="0"/>
            <w:sz w:val="21"/>
            <w:szCs w:val="21"/>
            <w:u w:val="single"/>
            <w:lang w:eastAsia="es-CO"/>
            <w14:ligatures w14:val="none"/>
          </w:rPr>
          <w:t>artículo 147</w:t>
        </w:r>
      </w:hyperlink>
      <w:r w:rsidRPr="00D713A4">
        <w:rPr>
          <w:rFonts w:ascii="Segoe UI" w:eastAsia="Times New Roman" w:hAnsi="Segoe UI" w:cs="Segoe UI"/>
          <w:color w:val="000000"/>
          <w:kern w:val="0"/>
          <w:sz w:val="21"/>
          <w:szCs w:val="21"/>
          <w:lang w:eastAsia="es-CO"/>
          <w14:ligatures w14:val="none"/>
        </w:rPr>
        <w:t> del ET., ésta debe interpretarse como un vínculo copulativo entre la declaración inicial y sus correcciones, que las sujeta al mismo término de firmeza de seis (6) años siempre que las pérdidas fiscales persistan. No obstante, si en la corrección se eliminan las pérdidas fiscales, la declaración inicial y la corrección se desvinculan, en el entendido en que la corrección ya no se encuentra dentro del supuesto que prevé el </w:t>
      </w:r>
      <w:hyperlink r:id="rId23" w:tooltip="Estatuto Tributario CETA" w:history="1">
        <w:r w:rsidRPr="00D713A4">
          <w:rPr>
            <w:rFonts w:ascii="Segoe UI" w:eastAsia="Times New Roman" w:hAnsi="Segoe UI" w:cs="Segoe UI"/>
            <w:color w:val="0645AD"/>
            <w:kern w:val="0"/>
            <w:sz w:val="21"/>
            <w:szCs w:val="21"/>
            <w:u w:val="single"/>
            <w:lang w:eastAsia="es-CO"/>
            <w14:ligatures w14:val="none"/>
          </w:rPr>
          <w:t>artículo 147</w:t>
        </w:r>
      </w:hyperlink>
      <w:r w:rsidRPr="00D713A4">
        <w:rPr>
          <w:rFonts w:ascii="Segoe UI" w:eastAsia="Times New Roman" w:hAnsi="Segoe UI" w:cs="Segoe UI"/>
          <w:color w:val="000000"/>
          <w:kern w:val="0"/>
          <w:sz w:val="21"/>
          <w:szCs w:val="21"/>
          <w:lang w:eastAsia="es-CO"/>
          <w14:ligatures w14:val="none"/>
        </w:rPr>
        <w:t> ET. Por lo tanto, la corrección queda sujeta al término general de firmeza del </w:t>
      </w:r>
      <w:hyperlink r:id="rId24" w:tooltip="Estatuto Tributario CETA" w:history="1">
        <w:r w:rsidRPr="00D713A4">
          <w:rPr>
            <w:rFonts w:ascii="Segoe UI" w:eastAsia="Times New Roman" w:hAnsi="Segoe UI" w:cs="Segoe UI"/>
            <w:color w:val="0645AD"/>
            <w:kern w:val="0"/>
            <w:sz w:val="21"/>
            <w:szCs w:val="21"/>
            <w:u w:val="single"/>
            <w:lang w:eastAsia="es-CO"/>
            <w14:ligatures w14:val="none"/>
          </w:rPr>
          <w:t>artículo 714</w:t>
        </w:r>
      </w:hyperlink>
      <w:r w:rsidRPr="00D713A4">
        <w:rPr>
          <w:rFonts w:ascii="Segoe UI" w:eastAsia="Times New Roman" w:hAnsi="Segoe UI" w:cs="Segoe UI"/>
          <w:color w:val="000000"/>
          <w:kern w:val="0"/>
          <w:sz w:val="21"/>
          <w:szCs w:val="21"/>
          <w:lang w:eastAsia="es-CO"/>
          <w14:ligatures w14:val="none"/>
        </w:rPr>
        <w:t> del ET.</w:t>
      </w:r>
    </w:p>
    <w:p w14:paraId="21E87C2F"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6EF0EE97"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15. Esta interpretación armoniza los artículos </w:t>
      </w:r>
      <w:hyperlink r:id="rId25" w:tooltip="Estatuto Tributario CETA" w:history="1">
        <w:r w:rsidRPr="00D713A4">
          <w:rPr>
            <w:rFonts w:ascii="Segoe UI" w:eastAsia="Times New Roman" w:hAnsi="Segoe UI" w:cs="Segoe UI"/>
            <w:color w:val="0645AD"/>
            <w:kern w:val="0"/>
            <w:sz w:val="21"/>
            <w:szCs w:val="21"/>
            <w:u w:val="single"/>
            <w:lang w:eastAsia="es-CO"/>
            <w14:ligatures w14:val="none"/>
          </w:rPr>
          <w:t>147</w:t>
        </w:r>
      </w:hyperlink>
      <w:r w:rsidRPr="00D713A4">
        <w:rPr>
          <w:rFonts w:ascii="Segoe UI" w:eastAsia="Times New Roman" w:hAnsi="Segoe UI" w:cs="Segoe UI"/>
          <w:color w:val="000000"/>
          <w:kern w:val="0"/>
          <w:sz w:val="21"/>
          <w:szCs w:val="21"/>
          <w:lang w:eastAsia="es-CO"/>
          <w14:ligatures w14:val="none"/>
        </w:rPr>
        <w:t>, </w:t>
      </w:r>
      <w:hyperlink r:id="rId26" w:tooltip="Estatuto Tributario CETA" w:history="1">
        <w:r w:rsidRPr="00D713A4">
          <w:rPr>
            <w:rFonts w:ascii="Segoe UI" w:eastAsia="Times New Roman" w:hAnsi="Segoe UI" w:cs="Segoe UI"/>
            <w:color w:val="0645AD"/>
            <w:kern w:val="0"/>
            <w:sz w:val="21"/>
            <w:szCs w:val="21"/>
            <w:u w:val="single"/>
            <w:lang w:eastAsia="es-CO"/>
            <w14:ligatures w14:val="none"/>
          </w:rPr>
          <w:t>588</w:t>
        </w:r>
      </w:hyperlink>
      <w:r w:rsidRPr="00D713A4">
        <w:rPr>
          <w:rFonts w:ascii="Segoe UI" w:eastAsia="Times New Roman" w:hAnsi="Segoe UI" w:cs="Segoe UI"/>
          <w:color w:val="000000"/>
          <w:kern w:val="0"/>
          <w:sz w:val="21"/>
          <w:szCs w:val="21"/>
          <w:lang w:eastAsia="es-CO"/>
          <w14:ligatures w14:val="none"/>
        </w:rPr>
        <w:t> y </w:t>
      </w:r>
      <w:hyperlink r:id="rId27" w:tooltip="Estatuto Tributario CETA" w:history="1">
        <w:r w:rsidRPr="00D713A4">
          <w:rPr>
            <w:rFonts w:ascii="Segoe UI" w:eastAsia="Times New Roman" w:hAnsi="Segoe UI" w:cs="Segoe UI"/>
            <w:color w:val="0645AD"/>
            <w:kern w:val="0"/>
            <w:sz w:val="21"/>
            <w:szCs w:val="21"/>
            <w:u w:val="single"/>
            <w:lang w:eastAsia="es-CO"/>
            <w14:ligatures w14:val="none"/>
          </w:rPr>
          <w:t>714</w:t>
        </w:r>
      </w:hyperlink>
      <w:r w:rsidRPr="00D713A4">
        <w:rPr>
          <w:rFonts w:ascii="Segoe UI" w:eastAsia="Times New Roman" w:hAnsi="Segoe UI" w:cs="Segoe UI"/>
          <w:color w:val="000000"/>
          <w:kern w:val="0"/>
          <w:sz w:val="21"/>
          <w:szCs w:val="21"/>
          <w:lang w:eastAsia="es-CO"/>
          <w14:ligatures w14:val="none"/>
        </w:rPr>
        <w:t> del ET, garantizando seguridad jurídica, debido proceso y legalidad en los procesos de fiscalización y cumplimiento tributario.</w:t>
      </w:r>
    </w:p>
    <w:p w14:paraId="2BFDF6B1"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48EDA411"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28" w:tgtFrame="_blank" w:history="1">
        <w:r w:rsidRPr="00D713A4">
          <w:rPr>
            <w:rFonts w:ascii="Segoe UI" w:eastAsia="Times New Roman" w:hAnsi="Segoe UI" w:cs="Segoe UI"/>
            <w:color w:val="0645AD"/>
            <w:kern w:val="0"/>
            <w:sz w:val="21"/>
            <w:szCs w:val="21"/>
            <w:u w:val="single"/>
            <w:lang w:eastAsia="es-CO"/>
            <w14:ligatures w14:val="none"/>
          </w:rPr>
          <w:t>https://normograma.dian.gov.co/dian/</w:t>
        </w:r>
      </w:hyperlink>
      <w:r w:rsidRPr="00D713A4">
        <w:rPr>
          <w:rFonts w:ascii="Segoe UI" w:eastAsia="Times New Roman" w:hAnsi="Segoe UI" w:cs="Segoe UI"/>
          <w:color w:val="000000"/>
          <w:kern w:val="0"/>
          <w:sz w:val="21"/>
          <w:szCs w:val="21"/>
          <w:lang w:eastAsia="es-CO"/>
          <w14:ligatures w14:val="none"/>
        </w:rPr>
        <w:t>.</w:t>
      </w:r>
    </w:p>
    <w:p w14:paraId="5FBBE9C1"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47037930"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Atentamente,</w:t>
      </w:r>
    </w:p>
    <w:p w14:paraId="6B4D0BBD"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05C841AF"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6E8C78F7"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b/>
          <w:bCs/>
          <w:color w:val="000000"/>
          <w:kern w:val="0"/>
          <w:sz w:val="21"/>
          <w:szCs w:val="21"/>
          <w:lang w:eastAsia="es-CO"/>
          <w14:ligatures w14:val="none"/>
        </w:rPr>
        <w:t>INGRID CASTAÑEDA CEPEDA</w:t>
      </w:r>
    </w:p>
    <w:p w14:paraId="1E0983E2"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Subdirectora de Normativa y Doctrina (A)</w:t>
      </w:r>
    </w:p>
    <w:p w14:paraId="6E153B28"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lastRenderedPageBreak/>
        <w:t>Dirección de Gestión Jurídica</w:t>
      </w:r>
    </w:p>
    <w:p w14:paraId="3F8B675D"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U.A.E. Dirección de Impuestos y Aduanas Nacionales – DIAN</w:t>
      </w:r>
    </w:p>
    <w:p w14:paraId="6209421C" w14:textId="77777777" w:rsidR="00D713A4" w:rsidRPr="00D713A4" w:rsidRDefault="00D713A4" w:rsidP="00D713A4">
      <w:pPr>
        <w:spacing w:after="0" w:line="240" w:lineRule="auto"/>
        <w:jc w:val="both"/>
        <w:rPr>
          <w:rFonts w:ascii="Segoe UI" w:eastAsia="Times New Roman" w:hAnsi="Segoe UI" w:cs="Segoe UI"/>
          <w:color w:val="000000"/>
          <w:kern w:val="0"/>
          <w:sz w:val="21"/>
          <w:szCs w:val="21"/>
          <w:lang w:eastAsia="es-CO"/>
          <w14:ligatures w14:val="none"/>
        </w:rPr>
      </w:pPr>
      <w:r w:rsidRPr="00D713A4">
        <w:rPr>
          <w:rFonts w:ascii="Segoe UI" w:eastAsia="Times New Roman" w:hAnsi="Segoe UI" w:cs="Segoe UI"/>
          <w:color w:val="000000"/>
          <w:kern w:val="0"/>
          <w:sz w:val="21"/>
          <w:szCs w:val="21"/>
          <w:lang w:eastAsia="es-CO"/>
          <w14:ligatures w14:val="none"/>
        </w:rPr>
        <w:t> </w:t>
      </w:r>
    </w:p>
    <w:p w14:paraId="183A1885" w14:textId="77777777" w:rsidR="00D713A4" w:rsidRPr="00D713A4" w:rsidRDefault="00D713A4" w:rsidP="00D713A4">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D713A4">
        <w:rPr>
          <w:rFonts w:ascii="Segoe UI" w:eastAsia="Times New Roman" w:hAnsi="Segoe UI" w:cs="Segoe UI"/>
          <w:b/>
          <w:bCs/>
          <w:color w:val="000000"/>
          <w:kern w:val="0"/>
          <w:sz w:val="21"/>
          <w:szCs w:val="21"/>
          <w:lang w:eastAsia="es-CO"/>
          <w14:ligatures w14:val="none"/>
        </w:rPr>
        <w:t>Notas al pie</w:t>
      </w:r>
    </w:p>
    <w:p w14:paraId="4A8BE252" w14:textId="546D6372" w:rsidR="00D713A4" w:rsidRDefault="00D713A4">
      <w:r>
        <w:t>_________________________________________</w:t>
      </w:r>
    </w:p>
    <w:p w14:paraId="76E81E9B" w14:textId="77777777" w:rsidR="00D713A4" w:rsidRDefault="00D713A4" w:rsidP="00D713A4">
      <w:hyperlink r:id="rId29" w:anchor="cite_ref-1" w:tooltip="Volver arriba" w:history="1">
        <w:r>
          <w:rPr>
            <w:rStyle w:val="Hipervnculo"/>
            <w:rFonts w:ascii="Segoe UI" w:hAnsi="Segoe UI" w:cs="Segoe UI"/>
            <w:color w:val="0645AD"/>
            <w:sz w:val="21"/>
            <w:szCs w:val="21"/>
            <w:shd w:val="clear" w:color="auto" w:fill="FFFFFF"/>
          </w:rPr>
          <w:t>↑</w:t>
        </w:r>
      </w:hyperlink>
      <w:r>
        <w:rPr>
          <w:rFonts w:ascii="Segoe UI" w:hAnsi="Segoe UI" w:cs="Segoe UI"/>
          <w:color w:val="000000"/>
          <w:sz w:val="21"/>
          <w:szCs w:val="21"/>
          <w:shd w:val="clear" w:color="auto" w:fill="FFFFFF"/>
        </w:rPr>
        <w:t> </w:t>
      </w:r>
      <w:r>
        <w:rPr>
          <w:rStyle w:val="reference-text"/>
          <w:rFonts w:ascii="Segoe UI" w:hAnsi="Segoe UI" w:cs="Segoe UI"/>
          <w:color w:val="000000"/>
          <w:sz w:val="21"/>
          <w:szCs w:val="21"/>
          <w:shd w:val="clear" w:color="auto" w:fill="FFFFFF"/>
        </w:rPr>
        <w:t>De conformidad con el numeral 4 del artículo 56 del Decreto 1742 de 2020 y el artículo 7 de la Resolución DIAN 91 de 2021</w:t>
      </w:r>
    </w:p>
    <w:p w14:paraId="5D05D269" w14:textId="77777777" w:rsidR="00D713A4" w:rsidRDefault="00D713A4" w:rsidP="00D713A4">
      <w:hyperlink r:id="rId30" w:anchor="cite_ref-2" w:tooltip="Volver arriba" w:history="1">
        <w:r w:rsidRPr="00D713A4">
          <w:rPr>
            <w:rFonts w:ascii="Segoe UI" w:eastAsia="Times New Roman" w:hAnsi="Segoe UI" w:cs="Segoe UI"/>
            <w:color w:val="0645AD"/>
            <w:kern w:val="0"/>
            <w:sz w:val="21"/>
            <w:szCs w:val="21"/>
            <w:u w:val="single"/>
            <w:lang w:eastAsia="es-CO"/>
            <w14:ligatures w14:val="none"/>
          </w:rPr>
          <w:t>↑</w:t>
        </w:r>
      </w:hyperlink>
      <w:r w:rsidRPr="00D713A4">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28355FA2" w14:textId="628680BE" w:rsidR="00D713A4" w:rsidRPr="00D713A4" w:rsidRDefault="00D713A4" w:rsidP="00D713A4">
      <w:hyperlink r:id="rId31" w:anchor="cite_ref-3" w:tooltip="Volver arriba" w:history="1">
        <w:r w:rsidRPr="00D713A4">
          <w:rPr>
            <w:rFonts w:ascii="Segoe UI" w:eastAsia="Times New Roman" w:hAnsi="Segoe UI" w:cs="Segoe UI"/>
            <w:color w:val="0645AD"/>
            <w:kern w:val="0"/>
            <w:sz w:val="21"/>
            <w:szCs w:val="21"/>
            <w:u w:val="single"/>
            <w:lang w:eastAsia="es-CO"/>
            <w14:ligatures w14:val="none"/>
          </w:rPr>
          <w:t>↑</w:t>
        </w:r>
      </w:hyperlink>
      <w:r w:rsidRPr="00D713A4">
        <w:rPr>
          <w:rFonts w:ascii="Segoe UI" w:eastAsia="Times New Roman" w:hAnsi="Segoe UI" w:cs="Segoe UI"/>
          <w:color w:val="000000"/>
          <w:kern w:val="0"/>
          <w:sz w:val="21"/>
          <w:szCs w:val="21"/>
          <w:lang w:eastAsia="es-CO"/>
          <w14:ligatures w14:val="none"/>
        </w:rPr>
        <w:t> Esta doctrina señala:</w:t>
      </w:r>
    </w:p>
    <w:p w14:paraId="5B208FD1" w14:textId="77777777" w:rsidR="00D713A4" w:rsidRDefault="00D713A4"/>
    <w:sectPr w:rsidR="00D713A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56043"/>
    <w:multiLevelType w:val="multilevel"/>
    <w:tmpl w:val="680AC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A5443F"/>
    <w:multiLevelType w:val="multilevel"/>
    <w:tmpl w:val="C94E2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910670">
    <w:abstractNumId w:val="0"/>
  </w:num>
  <w:num w:numId="2" w16cid:durableId="197525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A4"/>
    <w:rsid w:val="000F3837"/>
    <w:rsid w:val="001E311E"/>
    <w:rsid w:val="00434AE6"/>
    <w:rsid w:val="005D25EE"/>
    <w:rsid w:val="007F5CC8"/>
    <w:rsid w:val="008779BE"/>
    <w:rsid w:val="008C2E57"/>
    <w:rsid w:val="00D713A4"/>
    <w:rsid w:val="00DC4DD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052B"/>
  <w15:chartTrackingRefBased/>
  <w15:docId w15:val="{A641F18B-8740-47EB-B96A-F2A97EB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71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71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713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13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713A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713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713A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713A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713A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13A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713A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713A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713A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713A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713A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713A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713A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713A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71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13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13A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13A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713A4"/>
    <w:pPr>
      <w:spacing w:before="160"/>
      <w:jc w:val="center"/>
    </w:pPr>
    <w:rPr>
      <w:i/>
      <w:iCs/>
      <w:color w:val="404040" w:themeColor="text1" w:themeTint="BF"/>
    </w:rPr>
  </w:style>
  <w:style w:type="character" w:customStyle="1" w:styleId="CitaCar">
    <w:name w:val="Cita Car"/>
    <w:basedOn w:val="Fuentedeprrafopredeter"/>
    <w:link w:val="Cita"/>
    <w:uiPriority w:val="29"/>
    <w:rsid w:val="00D713A4"/>
    <w:rPr>
      <w:i/>
      <w:iCs/>
      <w:color w:val="404040" w:themeColor="text1" w:themeTint="BF"/>
    </w:rPr>
  </w:style>
  <w:style w:type="paragraph" w:styleId="Prrafodelista">
    <w:name w:val="List Paragraph"/>
    <w:basedOn w:val="Normal"/>
    <w:uiPriority w:val="34"/>
    <w:qFormat/>
    <w:rsid w:val="00D713A4"/>
    <w:pPr>
      <w:ind w:left="720"/>
      <w:contextualSpacing/>
    </w:pPr>
  </w:style>
  <w:style w:type="character" w:styleId="nfasisintenso">
    <w:name w:val="Intense Emphasis"/>
    <w:basedOn w:val="Fuentedeprrafopredeter"/>
    <w:uiPriority w:val="21"/>
    <w:qFormat/>
    <w:rsid w:val="00D713A4"/>
    <w:rPr>
      <w:i/>
      <w:iCs/>
      <w:color w:val="0F4761" w:themeColor="accent1" w:themeShade="BF"/>
    </w:rPr>
  </w:style>
  <w:style w:type="paragraph" w:styleId="Citadestacada">
    <w:name w:val="Intense Quote"/>
    <w:basedOn w:val="Normal"/>
    <w:next w:val="Normal"/>
    <w:link w:val="CitadestacadaCar"/>
    <w:uiPriority w:val="30"/>
    <w:qFormat/>
    <w:rsid w:val="00D71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13A4"/>
    <w:rPr>
      <w:i/>
      <w:iCs/>
      <w:color w:val="0F4761" w:themeColor="accent1" w:themeShade="BF"/>
    </w:rPr>
  </w:style>
  <w:style w:type="character" w:styleId="Referenciaintensa">
    <w:name w:val="Intense Reference"/>
    <w:basedOn w:val="Fuentedeprrafopredeter"/>
    <w:uiPriority w:val="32"/>
    <w:qFormat/>
    <w:rsid w:val="00D713A4"/>
    <w:rPr>
      <w:b/>
      <w:bCs/>
      <w:smallCaps/>
      <w:color w:val="0F4761" w:themeColor="accent1" w:themeShade="BF"/>
      <w:spacing w:val="5"/>
    </w:rPr>
  </w:style>
  <w:style w:type="character" w:styleId="Hipervnculo">
    <w:name w:val="Hyperlink"/>
    <w:basedOn w:val="Fuentedeprrafopredeter"/>
    <w:uiPriority w:val="99"/>
    <w:semiHidden/>
    <w:unhideWhenUsed/>
    <w:rsid w:val="00D713A4"/>
    <w:rPr>
      <w:color w:val="0000FF"/>
      <w:u w:val="single"/>
    </w:rPr>
  </w:style>
  <w:style w:type="character" w:customStyle="1" w:styleId="reference-text">
    <w:name w:val="reference-text"/>
    <w:basedOn w:val="Fuentedeprrafopredeter"/>
    <w:rsid w:val="00D7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8022">
      <w:bodyDiv w:val="1"/>
      <w:marLeft w:val="0"/>
      <w:marRight w:val="0"/>
      <w:marTop w:val="0"/>
      <w:marBottom w:val="0"/>
      <w:divBdr>
        <w:top w:val="none" w:sz="0" w:space="0" w:color="auto"/>
        <w:left w:val="none" w:sz="0" w:space="0" w:color="auto"/>
        <w:bottom w:val="none" w:sz="0" w:space="0" w:color="auto"/>
        <w:right w:val="none" w:sz="0" w:space="0" w:color="auto"/>
      </w:divBdr>
    </w:div>
    <w:div w:id="355085285">
      <w:bodyDiv w:val="1"/>
      <w:marLeft w:val="0"/>
      <w:marRight w:val="0"/>
      <w:marTop w:val="0"/>
      <w:marBottom w:val="0"/>
      <w:divBdr>
        <w:top w:val="none" w:sz="0" w:space="0" w:color="auto"/>
        <w:left w:val="none" w:sz="0" w:space="0" w:color="auto"/>
        <w:bottom w:val="none" w:sz="0" w:space="0" w:color="auto"/>
        <w:right w:val="none" w:sz="0" w:space="0" w:color="auto"/>
      </w:divBdr>
    </w:div>
    <w:div w:id="36930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725" TargetMode="External"/><Relationship Id="rId18" Type="http://schemas.openxmlformats.org/officeDocument/2006/relationships/hyperlink" Target="https://www.ceta.org.co/html/vista_de_un_articulo.asp?Norma=209" TargetMode="External"/><Relationship Id="rId26" Type="http://schemas.openxmlformats.org/officeDocument/2006/relationships/hyperlink" Target="https://www.ceta.org.co/html/vista_de_un_articulo.asp?Norma=725" TargetMode="External"/><Relationship Id="rId3" Type="http://schemas.openxmlformats.org/officeDocument/2006/relationships/settings" Target="settings.xml"/><Relationship Id="rId21" Type="http://schemas.openxmlformats.org/officeDocument/2006/relationships/hyperlink" Target="https://www.ceta.org.co/html/vista_de_un_articulo.asp?Norma=209" TargetMode="External"/><Relationship Id="rId7" Type="http://schemas.openxmlformats.org/officeDocument/2006/relationships/hyperlink" Target="https://www.ceta.org.co/html/vista_de_un_articulo.asp?Norma=890" TargetMode="External"/><Relationship Id="rId12" Type="http://schemas.openxmlformats.org/officeDocument/2006/relationships/hyperlink" Target="https://www.ceta.org.co/html/vista_de_un_articulo.asp?Norma=209" TargetMode="External"/><Relationship Id="rId17" Type="http://schemas.openxmlformats.org/officeDocument/2006/relationships/hyperlink" Target="https://www.ceta.org.co/html/vista_de_un_documento.asp?DocumentoID=52906" TargetMode="External"/><Relationship Id="rId25" Type="http://schemas.openxmlformats.org/officeDocument/2006/relationships/hyperlink" Target="https://www.ceta.org.co/html/vista_de_un_articulo.asp?Norma=20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eta.org.co/html/vista_de_un_articulo.asp?Norma=725" TargetMode="External"/><Relationship Id="rId20" Type="http://schemas.openxmlformats.org/officeDocument/2006/relationships/hyperlink" Target="https://www.ceta.org.co/html/vista_de_un_articulo.asp?Norma=890" TargetMode="External"/><Relationship Id="rId29" Type="http://schemas.openxmlformats.org/officeDocument/2006/relationships/hyperlink" Target="https://www.ceta.org.co/html/vista_de_un_documento.asp?DocumentoID=52906" TargetMode="External"/><Relationship Id="rId1" Type="http://schemas.openxmlformats.org/officeDocument/2006/relationships/numbering" Target="numbering.xml"/><Relationship Id="rId6" Type="http://schemas.openxmlformats.org/officeDocument/2006/relationships/hyperlink" Target="https://www.ceta.org.co/html/vista_de_un_articulo.asp?Norma=725" TargetMode="External"/><Relationship Id="rId11" Type="http://schemas.openxmlformats.org/officeDocument/2006/relationships/hyperlink" Target="https://www.ceta.org.co/html/vista_de_un_articulo.asp?Norma=890" TargetMode="External"/><Relationship Id="rId24" Type="http://schemas.openxmlformats.org/officeDocument/2006/relationships/hyperlink" Target="https://www.ceta.org.co/html/vista_de_un_articulo.asp?Norma=890" TargetMode="External"/><Relationship Id="rId32" Type="http://schemas.openxmlformats.org/officeDocument/2006/relationships/fontTable" Target="fontTable.xml"/><Relationship Id="rId5" Type="http://schemas.openxmlformats.org/officeDocument/2006/relationships/hyperlink" Target="https://www.ceta.org.co/html/vista_de_un_articulo.asp?Norma=209" TargetMode="External"/><Relationship Id="rId15" Type="http://schemas.openxmlformats.org/officeDocument/2006/relationships/hyperlink" Target="https://www.ceta.org.co/html/vista_de_un_articulo.asp?Norma=890" TargetMode="External"/><Relationship Id="rId23" Type="http://schemas.openxmlformats.org/officeDocument/2006/relationships/hyperlink" Target="https://www.ceta.org.co/html/vista_de_un_articulo.asp?Norma=209" TargetMode="External"/><Relationship Id="rId28" Type="http://schemas.openxmlformats.org/officeDocument/2006/relationships/hyperlink" Target="https://normograma.dian.gov.co/dian/" TargetMode="External"/><Relationship Id="rId10" Type="http://schemas.openxmlformats.org/officeDocument/2006/relationships/hyperlink" Target="https://www.ceta.org.co/html/vista_de_un_articulo.asp?Norma=209" TargetMode="External"/><Relationship Id="rId19" Type="http://schemas.openxmlformats.org/officeDocument/2006/relationships/hyperlink" Target="https://www.ceta.org.co/html/vista_de_un_articulo.asp?Norma=209" TargetMode="External"/><Relationship Id="rId31" Type="http://schemas.openxmlformats.org/officeDocument/2006/relationships/hyperlink" Target="https://www.ceta.org.co/html/vista_de_un_documento.asp?DocumentoID=52906"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2906" TargetMode="External"/><Relationship Id="rId14" Type="http://schemas.openxmlformats.org/officeDocument/2006/relationships/hyperlink" Target="https://www.ceta.org.co/html/vista_de_un_articulo.asp?Norma=209" TargetMode="External"/><Relationship Id="rId22" Type="http://schemas.openxmlformats.org/officeDocument/2006/relationships/hyperlink" Target="https://www.ceta.org.co/html/vista_de_un_articulo.asp?Norma=209" TargetMode="External"/><Relationship Id="rId27" Type="http://schemas.openxmlformats.org/officeDocument/2006/relationships/hyperlink" Target="https://www.ceta.org.co/html/vista_de_un_articulo.asp?Norma=890" TargetMode="External"/><Relationship Id="rId30" Type="http://schemas.openxmlformats.org/officeDocument/2006/relationships/hyperlink" Target="https://www.ceta.org.co/html/vista_de_un_documento.asp?DocumentoID=52906" TargetMode="External"/><Relationship Id="rId8" Type="http://schemas.openxmlformats.org/officeDocument/2006/relationships/hyperlink" Target="https://www.ceta.org.co/html/vista_de_un_documento.asp?DocumentoID=529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1463</Words>
  <Characters>8048</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2025-01-14T20:13:00Z</dcterms:created>
  <dcterms:modified xsi:type="dcterms:W3CDTF">2025-01-14T20:16:00Z</dcterms:modified>
</cp:coreProperties>
</file>