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05678" w14:textId="77777777" w:rsidR="007F5CC8" w:rsidRDefault="007F5CC8"/>
    <w:p w14:paraId="367A7F4B" w14:textId="77777777" w:rsidR="007416E1" w:rsidRDefault="007416E1"/>
    <w:p w14:paraId="2CD027D4" w14:textId="77777777" w:rsidR="007416E1" w:rsidRPr="007416E1" w:rsidRDefault="007416E1" w:rsidP="007416E1">
      <w:pPr>
        <w:spacing w:after="0" w:line="240" w:lineRule="auto"/>
        <w:jc w:val="center"/>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t xml:space="preserve">Concepto </w:t>
      </w:r>
      <w:proofErr w:type="spellStart"/>
      <w:r w:rsidRPr="007416E1">
        <w:rPr>
          <w:rFonts w:ascii="Segoe UI" w:eastAsia="Times New Roman" w:hAnsi="Segoe UI" w:cs="Segoe UI"/>
          <w:b/>
          <w:bCs/>
          <w:color w:val="000000"/>
          <w:kern w:val="0"/>
          <w:sz w:val="21"/>
          <w:szCs w:val="21"/>
          <w:lang w:eastAsia="es-CO"/>
          <w14:ligatures w14:val="none"/>
        </w:rPr>
        <w:t>Nº</w:t>
      </w:r>
      <w:proofErr w:type="spellEnd"/>
      <w:r w:rsidRPr="007416E1">
        <w:rPr>
          <w:rFonts w:ascii="Segoe UI" w:eastAsia="Times New Roman" w:hAnsi="Segoe UI" w:cs="Segoe UI"/>
          <w:b/>
          <w:bCs/>
          <w:color w:val="000000"/>
          <w:kern w:val="0"/>
          <w:sz w:val="21"/>
          <w:szCs w:val="21"/>
          <w:lang w:eastAsia="es-CO"/>
          <w14:ligatures w14:val="none"/>
        </w:rPr>
        <w:t xml:space="preserve"> 1118 [013103]</w:t>
      </w:r>
    </w:p>
    <w:p w14:paraId="4894C7C2" w14:textId="77777777" w:rsidR="007416E1" w:rsidRPr="007416E1" w:rsidRDefault="007416E1" w:rsidP="007416E1">
      <w:pPr>
        <w:spacing w:after="0" w:line="240" w:lineRule="auto"/>
        <w:jc w:val="center"/>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t>05-07-2024</w:t>
      </w:r>
    </w:p>
    <w:p w14:paraId="0EC02BDB" w14:textId="77777777" w:rsidR="007416E1" w:rsidRPr="007416E1" w:rsidRDefault="007416E1" w:rsidP="007416E1">
      <w:pPr>
        <w:spacing w:after="0" w:line="240" w:lineRule="auto"/>
        <w:jc w:val="center"/>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t>DIAN</w:t>
      </w:r>
    </w:p>
    <w:p w14:paraId="7D5F23E2"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45F07F33"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364CA929"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100202208 – 1118</w:t>
      </w:r>
    </w:p>
    <w:p w14:paraId="3602575F"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12DEAA50"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Bogotá, D.C.</w:t>
      </w:r>
    </w:p>
    <w:p w14:paraId="03386787"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115"/>
        <w:gridCol w:w="7241"/>
      </w:tblGrid>
      <w:tr w:rsidR="007416E1" w:rsidRPr="007416E1" w14:paraId="7AAF517D" w14:textId="77777777" w:rsidTr="007416E1">
        <w:tc>
          <w:tcPr>
            <w:tcW w:w="2285" w:type="dxa"/>
            <w:tcBorders>
              <w:top w:val="nil"/>
              <w:left w:val="nil"/>
              <w:bottom w:val="nil"/>
              <w:right w:val="nil"/>
            </w:tcBorders>
            <w:tcMar>
              <w:top w:w="0" w:type="dxa"/>
              <w:left w:w="105" w:type="dxa"/>
              <w:bottom w:w="0" w:type="dxa"/>
              <w:right w:w="105" w:type="dxa"/>
            </w:tcMar>
            <w:hideMark/>
          </w:tcPr>
          <w:p w14:paraId="25E85CD1" w14:textId="77777777" w:rsidR="007416E1" w:rsidRPr="007416E1" w:rsidRDefault="007416E1" w:rsidP="007416E1">
            <w:pPr>
              <w:spacing w:after="0" w:line="240" w:lineRule="auto"/>
              <w:jc w:val="both"/>
              <w:rPr>
                <w:rFonts w:ascii="Segoe UI" w:eastAsia="Times New Roman" w:hAnsi="Segoe UI" w:cs="Segoe UI"/>
                <w:kern w:val="0"/>
                <w:sz w:val="21"/>
                <w:szCs w:val="21"/>
                <w:lang w:eastAsia="es-CO"/>
                <w14:ligatures w14:val="none"/>
              </w:rPr>
            </w:pPr>
            <w:r w:rsidRPr="007416E1">
              <w:rPr>
                <w:rFonts w:ascii="Segoe UI" w:eastAsia="Times New Roman" w:hAnsi="Segoe UI" w:cs="Segoe UI"/>
                <w:b/>
                <w:bCs/>
                <w:kern w:val="0"/>
                <w:sz w:val="21"/>
                <w:szCs w:val="21"/>
                <w:lang w:eastAsia="es-CO"/>
                <w14:ligatures w14:val="none"/>
              </w:rPr>
              <w:t>Tema:</w:t>
            </w:r>
          </w:p>
        </w:tc>
        <w:tc>
          <w:tcPr>
            <w:tcW w:w="8873" w:type="dxa"/>
            <w:tcBorders>
              <w:top w:val="nil"/>
              <w:left w:val="nil"/>
              <w:bottom w:val="nil"/>
              <w:right w:val="nil"/>
            </w:tcBorders>
            <w:tcMar>
              <w:top w:w="0" w:type="dxa"/>
              <w:left w:w="105" w:type="dxa"/>
              <w:bottom w:w="0" w:type="dxa"/>
              <w:right w:w="105" w:type="dxa"/>
            </w:tcMar>
            <w:hideMark/>
          </w:tcPr>
          <w:p w14:paraId="5E3D8F4C" w14:textId="77777777" w:rsidR="007416E1" w:rsidRPr="007416E1" w:rsidRDefault="007416E1" w:rsidP="007416E1">
            <w:pPr>
              <w:spacing w:after="0" w:line="240" w:lineRule="auto"/>
              <w:jc w:val="both"/>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Tributario</w:t>
            </w:r>
          </w:p>
        </w:tc>
      </w:tr>
      <w:tr w:rsidR="007416E1" w:rsidRPr="007416E1" w14:paraId="1AB50F24" w14:textId="77777777" w:rsidTr="007416E1">
        <w:tc>
          <w:tcPr>
            <w:tcW w:w="2285" w:type="dxa"/>
            <w:tcBorders>
              <w:top w:val="nil"/>
              <w:left w:val="nil"/>
              <w:bottom w:val="nil"/>
              <w:right w:val="nil"/>
            </w:tcBorders>
            <w:tcMar>
              <w:top w:w="0" w:type="dxa"/>
              <w:left w:w="105" w:type="dxa"/>
              <w:bottom w:w="0" w:type="dxa"/>
              <w:right w:w="105" w:type="dxa"/>
            </w:tcMar>
            <w:hideMark/>
          </w:tcPr>
          <w:p w14:paraId="32D6246B" w14:textId="77777777" w:rsidR="007416E1" w:rsidRPr="007416E1" w:rsidRDefault="007416E1" w:rsidP="007416E1">
            <w:pPr>
              <w:spacing w:after="0" w:line="240" w:lineRule="auto"/>
              <w:jc w:val="both"/>
              <w:rPr>
                <w:rFonts w:ascii="Segoe UI" w:eastAsia="Times New Roman" w:hAnsi="Segoe UI" w:cs="Segoe UI"/>
                <w:kern w:val="0"/>
                <w:sz w:val="21"/>
                <w:szCs w:val="21"/>
                <w:lang w:eastAsia="es-CO"/>
                <w14:ligatures w14:val="none"/>
              </w:rPr>
            </w:pPr>
            <w:r w:rsidRPr="007416E1">
              <w:rPr>
                <w:rFonts w:ascii="Segoe UI" w:eastAsia="Times New Roman" w:hAnsi="Segoe UI" w:cs="Segoe UI"/>
                <w:b/>
                <w:bCs/>
                <w:kern w:val="0"/>
                <w:sz w:val="21"/>
                <w:szCs w:val="21"/>
                <w:lang w:eastAsia="es-CO"/>
                <w14:ligatures w14:val="none"/>
              </w:rPr>
              <w:t>Descriptores:</w:t>
            </w:r>
          </w:p>
        </w:tc>
        <w:tc>
          <w:tcPr>
            <w:tcW w:w="8873" w:type="dxa"/>
            <w:tcBorders>
              <w:top w:val="nil"/>
              <w:left w:val="nil"/>
              <w:bottom w:val="nil"/>
              <w:right w:val="nil"/>
            </w:tcBorders>
            <w:tcMar>
              <w:top w:w="0" w:type="dxa"/>
              <w:left w:w="105" w:type="dxa"/>
              <w:bottom w:w="0" w:type="dxa"/>
              <w:right w:w="105" w:type="dxa"/>
            </w:tcMar>
            <w:hideMark/>
          </w:tcPr>
          <w:p w14:paraId="5C3FE806" w14:textId="77777777" w:rsidR="007416E1" w:rsidRPr="007416E1" w:rsidRDefault="007416E1" w:rsidP="007416E1">
            <w:pPr>
              <w:spacing w:after="0" w:line="240" w:lineRule="auto"/>
              <w:jc w:val="both"/>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Aplicación sanción por inexactitud y sanción rechazo o disminución de pérdidas</w:t>
            </w:r>
          </w:p>
        </w:tc>
      </w:tr>
      <w:tr w:rsidR="007416E1" w:rsidRPr="007416E1" w14:paraId="5B6B0EF6" w14:textId="77777777" w:rsidTr="007416E1">
        <w:tc>
          <w:tcPr>
            <w:tcW w:w="2285" w:type="dxa"/>
            <w:tcBorders>
              <w:top w:val="nil"/>
              <w:left w:val="nil"/>
              <w:bottom w:val="nil"/>
              <w:right w:val="nil"/>
            </w:tcBorders>
            <w:tcMar>
              <w:top w:w="0" w:type="dxa"/>
              <w:left w:w="105" w:type="dxa"/>
              <w:bottom w:w="0" w:type="dxa"/>
              <w:right w:w="105" w:type="dxa"/>
            </w:tcMar>
            <w:hideMark/>
          </w:tcPr>
          <w:p w14:paraId="2F128D34" w14:textId="77777777" w:rsidR="007416E1" w:rsidRPr="007416E1" w:rsidRDefault="007416E1" w:rsidP="007416E1">
            <w:pPr>
              <w:spacing w:after="0" w:line="240" w:lineRule="auto"/>
              <w:jc w:val="both"/>
              <w:rPr>
                <w:rFonts w:ascii="Segoe UI" w:eastAsia="Times New Roman" w:hAnsi="Segoe UI" w:cs="Segoe UI"/>
                <w:kern w:val="0"/>
                <w:sz w:val="21"/>
                <w:szCs w:val="21"/>
                <w:lang w:eastAsia="es-CO"/>
                <w14:ligatures w14:val="none"/>
              </w:rPr>
            </w:pPr>
            <w:r w:rsidRPr="007416E1">
              <w:rPr>
                <w:rFonts w:ascii="Segoe UI" w:eastAsia="Times New Roman" w:hAnsi="Segoe UI" w:cs="Segoe UI"/>
                <w:b/>
                <w:bCs/>
                <w:kern w:val="0"/>
                <w:sz w:val="21"/>
                <w:szCs w:val="21"/>
                <w:lang w:eastAsia="es-CO"/>
                <w14:ligatures w14:val="none"/>
              </w:rPr>
              <w:t>Fuentes formales:</w:t>
            </w:r>
          </w:p>
        </w:tc>
        <w:tc>
          <w:tcPr>
            <w:tcW w:w="8873" w:type="dxa"/>
            <w:tcBorders>
              <w:top w:val="nil"/>
              <w:left w:val="nil"/>
              <w:bottom w:val="nil"/>
              <w:right w:val="nil"/>
            </w:tcBorders>
            <w:tcMar>
              <w:top w:w="0" w:type="dxa"/>
              <w:left w:w="105" w:type="dxa"/>
              <w:bottom w:w="0" w:type="dxa"/>
              <w:right w:w="105" w:type="dxa"/>
            </w:tcMar>
            <w:hideMark/>
          </w:tcPr>
          <w:p w14:paraId="75BFD569" w14:textId="77777777" w:rsidR="007416E1" w:rsidRPr="007416E1" w:rsidRDefault="007416E1" w:rsidP="007416E1">
            <w:pPr>
              <w:spacing w:after="0" w:line="240" w:lineRule="auto"/>
              <w:jc w:val="both"/>
              <w:rPr>
                <w:rFonts w:ascii="Segoe UI" w:eastAsia="Times New Roman" w:hAnsi="Segoe UI" w:cs="Segoe UI"/>
                <w:kern w:val="0"/>
                <w:sz w:val="21"/>
                <w:szCs w:val="21"/>
                <w:lang w:eastAsia="es-CO"/>
                <w14:ligatures w14:val="none"/>
              </w:rPr>
            </w:pPr>
            <w:hyperlink r:id="rId5" w:tooltip="Estatuto Tributario CETA" w:history="1">
              <w:r w:rsidRPr="007416E1">
                <w:rPr>
                  <w:rFonts w:ascii="Segoe UI" w:eastAsia="Times New Roman" w:hAnsi="Segoe UI" w:cs="Segoe UI"/>
                  <w:color w:val="0645AD"/>
                  <w:kern w:val="0"/>
                  <w:sz w:val="21"/>
                  <w:szCs w:val="21"/>
                  <w:u w:val="single"/>
                  <w:lang w:eastAsia="es-CO"/>
                  <w14:ligatures w14:val="none"/>
                </w:rPr>
                <w:t>Artículo 647-1</w:t>
              </w:r>
            </w:hyperlink>
            <w:r w:rsidRPr="007416E1">
              <w:rPr>
                <w:rFonts w:ascii="Segoe UI" w:eastAsia="Times New Roman" w:hAnsi="Segoe UI" w:cs="Segoe UI"/>
                <w:kern w:val="0"/>
                <w:sz w:val="21"/>
                <w:szCs w:val="21"/>
                <w:lang w:eastAsia="es-CO"/>
                <w14:ligatures w14:val="none"/>
              </w:rPr>
              <w:t> y </w:t>
            </w:r>
            <w:hyperlink r:id="rId6" w:tooltip="Estatuto Tributario CETA" w:history="1">
              <w:r w:rsidRPr="007416E1">
                <w:rPr>
                  <w:rFonts w:ascii="Segoe UI" w:eastAsia="Times New Roman" w:hAnsi="Segoe UI" w:cs="Segoe UI"/>
                  <w:color w:val="0645AD"/>
                  <w:kern w:val="0"/>
                  <w:sz w:val="21"/>
                  <w:szCs w:val="21"/>
                  <w:u w:val="single"/>
                  <w:lang w:eastAsia="es-CO"/>
                  <w14:ligatures w14:val="none"/>
                </w:rPr>
                <w:t>648</w:t>
              </w:r>
            </w:hyperlink>
            <w:r w:rsidRPr="007416E1">
              <w:rPr>
                <w:rFonts w:ascii="Segoe UI" w:eastAsia="Times New Roman" w:hAnsi="Segoe UI" w:cs="Segoe UI"/>
                <w:kern w:val="0"/>
                <w:sz w:val="21"/>
                <w:szCs w:val="21"/>
                <w:lang w:eastAsia="es-CO"/>
                <w14:ligatures w14:val="none"/>
              </w:rPr>
              <w:t> del Estatuto Tributario.</w:t>
            </w:r>
          </w:p>
        </w:tc>
      </w:tr>
    </w:tbl>
    <w:p w14:paraId="3529C9E9"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1F33C19E"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1F97994D"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Esta Dirección está facultada para absolver las consultas escritas, presentadas de manera general, sobre la interpretación y aplicación de las normas tributarias, aduaneras y de fiscalización cambiaria, en lo de competencia de la DIAN</w:t>
      </w:r>
      <w:hyperlink r:id="rId7" w:anchor="cite_note-1" w:history="1">
        <w:r w:rsidRPr="007416E1">
          <w:rPr>
            <w:rFonts w:ascii="Segoe UI" w:eastAsia="Times New Roman" w:hAnsi="Segoe UI" w:cs="Segoe UI"/>
            <w:color w:val="0645AD"/>
            <w:kern w:val="0"/>
            <w:sz w:val="21"/>
            <w:szCs w:val="21"/>
            <w:u w:val="single"/>
            <w:vertAlign w:val="superscript"/>
            <w:lang w:eastAsia="es-CO"/>
            <w14:ligatures w14:val="none"/>
          </w:rPr>
          <w:t>1</w:t>
        </w:r>
      </w:hyperlink>
      <w:r w:rsidRPr="007416E1">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8" w:anchor="cite_note-2" w:history="1">
        <w:r w:rsidRPr="007416E1">
          <w:rPr>
            <w:rFonts w:ascii="Segoe UI" w:eastAsia="Times New Roman" w:hAnsi="Segoe UI" w:cs="Segoe UI"/>
            <w:color w:val="0645AD"/>
            <w:kern w:val="0"/>
            <w:sz w:val="21"/>
            <w:szCs w:val="21"/>
            <w:u w:val="single"/>
            <w:vertAlign w:val="superscript"/>
            <w:lang w:eastAsia="es-CO"/>
            <w14:ligatures w14:val="none"/>
          </w:rPr>
          <w:t>2</w:t>
        </w:r>
      </w:hyperlink>
      <w:r w:rsidRPr="007416E1">
        <w:rPr>
          <w:rFonts w:ascii="Segoe UI" w:eastAsia="Times New Roman" w:hAnsi="Segoe UI" w:cs="Segoe UI"/>
          <w:color w:val="000000"/>
          <w:kern w:val="0"/>
          <w:sz w:val="21"/>
          <w:szCs w:val="21"/>
          <w:lang w:eastAsia="es-CO"/>
          <w14:ligatures w14:val="none"/>
        </w:rPr>
        <w:t>.</w:t>
      </w:r>
    </w:p>
    <w:p w14:paraId="15E0DCB7"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6E8025BB"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t>Problema Jurídico:</w:t>
      </w:r>
    </w:p>
    <w:p w14:paraId="45345B30"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049B1BC7"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¿Los artículos </w:t>
      </w:r>
      <w:hyperlink r:id="rId9" w:tooltip="Estatuto Tributario CETA" w:history="1">
        <w:r w:rsidRPr="007416E1">
          <w:rPr>
            <w:rFonts w:ascii="Segoe UI" w:eastAsia="Times New Roman" w:hAnsi="Segoe UI" w:cs="Segoe UI"/>
            <w:color w:val="0645AD"/>
            <w:kern w:val="0"/>
            <w:sz w:val="21"/>
            <w:szCs w:val="21"/>
            <w:u w:val="single"/>
            <w:lang w:eastAsia="es-CO"/>
            <w14:ligatures w14:val="none"/>
          </w:rPr>
          <w:t>647-1</w:t>
        </w:r>
      </w:hyperlink>
      <w:r w:rsidRPr="007416E1">
        <w:rPr>
          <w:rFonts w:ascii="Segoe UI" w:eastAsia="Times New Roman" w:hAnsi="Segoe UI" w:cs="Segoe UI"/>
          <w:color w:val="000000"/>
          <w:kern w:val="0"/>
          <w:sz w:val="21"/>
          <w:szCs w:val="21"/>
          <w:lang w:eastAsia="es-CO"/>
          <w14:ligatures w14:val="none"/>
        </w:rPr>
        <w:t> y </w:t>
      </w:r>
      <w:hyperlink r:id="rId10" w:tooltip="Estatuto Tributario CETA" w:history="1">
        <w:r w:rsidRPr="007416E1">
          <w:rPr>
            <w:rFonts w:ascii="Segoe UI" w:eastAsia="Times New Roman" w:hAnsi="Segoe UI" w:cs="Segoe UI"/>
            <w:color w:val="0645AD"/>
            <w:kern w:val="0"/>
            <w:sz w:val="21"/>
            <w:szCs w:val="21"/>
            <w:u w:val="single"/>
            <w:lang w:eastAsia="es-CO"/>
            <w14:ligatures w14:val="none"/>
          </w:rPr>
          <w:t>648</w:t>
        </w:r>
      </w:hyperlink>
      <w:r w:rsidRPr="007416E1">
        <w:rPr>
          <w:rFonts w:ascii="Segoe UI" w:eastAsia="Times New Roman" w:hAnsi="Segoe UI" w:cs="Segoe UI"/>
          <w:color w:val="000000"/>
          <w:kern w:val="0"/>
          <w:sz w:val="21"/>
          <w:szCs w:val="21"/>
          <w:lang w:eastAsia="es-CO"/>
          <w14:ligatures w14:val="none"/>
        </w:rPr>
        <w:t> del Estatuto Tributario se aplican concurrentemente cuando hay un rechazo o disminución de pérdidas que derive en un mayor saldo a pagar o un menor saldo a favor?</w:t>
      </w:r>
    </w:p>
    <w:p w14:paraId="4D8564E1"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117BDF70"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t>Tesis Jurídica:</w:t>
      </w:r>
    </w:p>
    <w:p w14:paraId="58377B0B"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6378270A"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No. Las bases previstas en los artículos </w:t>
      </w:r>
      <w:hyperlink r:id="rId11" w:tooltip="Estatuto Tributario CETA" w:history="1">
        <w:r w:rsidRPr="007416E1">
          <w:rPr>
            <w:rFonts w:ascii="Segoe UI" w:eastAsia="Times New Roman" w:hAnsi="Segoe UI" w:cs="Segoe UI"/>
            <w:color w:val="0645AD"/>
            <w:kern w:val="0"/>
            <w:sz w:val="21"/>
            <w:szCs w:val="21"/>
            <w:u w:val="single"/>
            <w:lang w:eastAsia="es-CO"/>
            <w14:ligatures w14:val="none"/>
          </w:rPr>
          <w:t>647-1</w:t>
        </w:r>
      </w:hyperlink>
      <w:r w:rsidRPr="007416E1">
        <w:rPr>
          <w:rFonts w:ascii="Segoe UI" w:eastAsia="Times New Roman" w:hAnsi="Segoe UI" w:cs="Segoe UI"/>
          <w:color w:val="000000"/>
          <w:kern w:val="0"/>
          <w:sz w:val="21"/>
          <w:szCs w:val="21"/>
          <w:lang w:eastAsia="es-CO"/>
          <w14:ligatures w14:val="none"/>
        </w:rPr>
        <w:t> y </w:t>
      </w:r>
      <w:hyperlink r:id="rId12" w:tooltip="Estatuto Tributario CETA" w:history="1">
        <w:r w:rsidRPr="007416E1">
          <w:rPr>
            <w:rFonts w:ascii="Segoe UI" w:eastAsia="Times New Roman" w:hAnsi="Segoe UI" w:cs="Segoe UI"/>
            <w:color w:val="0645AD"/>
            <w:kern w:val="0"/>
            <w:sz w:val="21"/>
            <w:szCs w:val="21"/>
            <w:u w:val="single"/>
            <w:lang w:eastAsia="es-CO"/>
            <w14:ligatures w14:val="none"/>
          </w:rPr>
          <w:t>648</w:t>
        </w:r>
      </w:hyperlink>
      <w:r w:rsidRPr="007416E1">
        <w:rPr>
          <w:rFonts w:ascii="Segoe UI" w:eastAsia="Times New Roman" w:hAnsi="Segoe UI" w:cs="Segoe UI"/>
          <w:color w:val="000000"/>
          <w:kern w:val="0"/>
          <w:sz w:val="21"/>
          <w:szCs w:val="21"/>
          <w:lang w:eastAsia="es-CO"/>
          <w14:ligatures w14:val="none"/>
        </w:rPr>
        <w:t> del Estatuto Tributario no se aplican de manera concurrente pues son excluyentes. El </w:t>
      </w:r>
      <w:hyperlink r:id="rId13" w:tooltip="Estatuto Tributario CETA" w:history="1">
        <w:r w:rsidRPr="007416E1">
          <w:rPr>
            <w:rFonts w:ascii="Segoe UI" w:eastAsia="Times New Roman" w:hAnsi="Segoe UI" w:cs="Segoe UI"/>
            <w:color w:val="0645AD"/>
            <w:kern w:val="0"/>
            <w:sz w:val="21"/>
            <w:szCs w:val="21"/>
            <w:u w:val="single"/>
            <w:lang w:eastAsia="es-CO"/>
            <w14:ligatures w14:val="none"/>
          </w:rPr>
          <w:t>artículo 647-1</w:t>
        </w:r>
      </w:hyperlink>
      <w:r w:rsidRPr="007416E1">
        <w:rPr>
          <w:rFonts w:ascii="Segoe UI" w:eastAsia="Times New Roman" w:hAnsi="Segoe UI" w:cs="Segoe UI"/>
          <w:color w:val="000000"/>
          <w:kern w:val="0"/>
          <w:sz w:val="21"/>
          <w:szCs w:val="21"/>
          <w:lang w:eastAsia="es-CO"/>
          <w14:ligatures w14:val="none"/>
        </w:rPr>
        <w:t> del Estatuto Tributario aplica cuando el rechazo o la disminución de pérdidas no modifican el saldo a favor o el saldo a pagar declarado. Por su parte, el </w:t>
      </w:r>
      <w:hyperlink r:id="rId14" w:tooltip="Estatuto Tributario CETA" w:history="1">
        <w:r w:rsidRPr="007416E1">
          <w:rPr>
            <w:rFonts w:ascii="Segoe UI" w:eastAsia="Times New Roman" w:hAnsi="Segoe UI" w:cs="Segoe UI"/>
            <w:color w:val="0645AD"/>
            <w:kern w:val="0"/>
            <w:sz w:val="21"/>
            <w:szCs w:val="21"/>
            <w:u w:val="single"/>
            <w:lang w:eastAsia="es-CO"/>
            <w14:ligatures w14:val="none"/>
          </w:rPr>
          <w:t>artículo 648</w:t>
        </w:r>
      </w:hyperlink>
      <w:r w:rsidRPr="007416E1">
        <w:rPr>
          <w:rFonts w:ascii="Segoe UI" w:eastAsia="Times New Roman" w:hAnsi="Segoe UI" w:cs="Segoe UI"/>
          <w:color w:val="000000"/>
          <w:kern w:val="0"/>
          <w:sz w:val="21"/>
          <w:szCs w:val="21"/>
          <w:lang w:eastAsia="es-CO"/>
          <w14:ligatures w14:val="none"/>
        </w:rPr>
        <w:t> del Estatuto Tributario aplica cuando el rechazo o la disminución de pérdidas modifican el saldo a favor o el saldo a pagar declarado.</w:t>
      </w:r>
    </w:p>
    <w:p w14:paraId="137EA6DE"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7CD44C44"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t>Fundamentación:</w:t>
      </w:r>
    </w:p>
    <w:p w14:paraId="777EC0B0"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54B32708"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El Consejo de Estado ha sostenido que lo previsto en el </w:t>
      </w:r>
      <w:hyperlink r:id="rId15" w:tooltip="Estatuto Tributario CETA" w:history="1">
        <w:r w:rsidRPr="007416E1">
          <w:rPr>
            <w:rFonts w:ascii="Segoe UI" w:eastAsia="Times New Roman" w:hAnsi="Segoe UI" w:cs="Segoe UI"/>
            <w:color w:val="0645AD"/>
            <w:kern w:val="0"/>
            <w:sz w:val="21"/>
            <w:szCs w:val="21"/>
            <w:u w:val="single"/>
            <w:lang w:eastAsia="es-CO"/>
            <w14:ligatures w14:val="none"/>
          </w:rPr>
          <w:t>artículo 647-1</w:t>
        </w:r>
      </w:hyperlink>
      <w:r w:rsidRPr="007416E1">
        <w:rPr>
          <w:rFonts w:ascii="Segoe UI" w:eastAsia="Times New Roman" w:hAnsi="Segoe UI" w:cs="Segoe UI"/>
          <w:color w:val="000000"/>
          <w:kern w:val="0"/>
          <w:sz w:val="21"/>
          <w:szCs w:val="21"/>
          <w:lang w:eastAsia="es-CO"/>
          <w14:ligatures w14:val="none"/>
        </w:rPr>
        <w:t> del Estatuto Tributario es una base especial para la liquidación de la sanción por inexactitud cuando se rechazan o disminuyen las pérdidas fiscales en el proceso de determinación oficial del tributo y que ésta no es aplicable de manera concomitante con la base establecida en el </w:t>
      </w:r>
      <w:hyperlink r:id="rId16" w:tooltip="Estatuto Tributario CETA" w:history="1">
        <w:r w:rsidRPr="007416E1">
          <w:rPr>
            <w:rFonts w:ascii="Segoe UI" w:eastAsia="Times New Roman" w:hAnsi="Segoe UI" w:cs="Segoe UI"/>
            <w:color w:val="0645AD"/>
            <w:kern w:val="0"/>
            <w:sz w:val="21"/>
            <w:szCs w:val="21"/>
            <w:u w:val="single"/>
            <w:lang w:eastAsia="es-CO"/>
            <w14:ligatures w14:val="none"/>
          </w:rPr>
          <w:t>artículo 648</w:t>
        </w:r>
      </w:hyperlink>
      <w:r w:rsidRPr="007416E1">
        <w:rPr>
          <w:rFonts w:ascii="Segoe UI" w:eastAsia="Times New Roman" w:hAnsi="Segoe UI" w:cs="Segoe UI"/>
          <w:color w:val="000000"/>
          <w:kern w:val="0"/>
          <w:sz w:val="21"/>
          <w:szCs w:val="21"/>
          <w:lang w:eastAsia="es-CO"/>
          <w14:ligatures w14:val="none"/>
        </w:rPr>
        <w:t> (antes </w:t>
      </w:r>
      <w:hyperlink r:id="rId17" w:tooltip="Estatuto Tributario CETA" w:history="1">
        <w:r w:rsidRPr="007416E1">
          <w:rPr>
            <w:rFonts w:ascii="Segoe UI" w:eastAsia="Times New Roman" w:hAnsi="Segoe UI" w:cs="Segoe UI"/>
            <w:color w:val="0645AD"/>
            <w:kern w:val="0"/>
            <w:sz w:val="21"/>
            <w:szCs w:val="21"/>
            <w:u w:val="single"/>
            <w:lang w:eastAsia="es-CO"/>
            <w14:ligatures w14:val="none"/>
          </w:rPr>
          <w:t>647</w:t>
        </w:r>
      </w:hyperlink>
      <w:r w:rsidRPr="007416E1">
        <w:rPr>
          <w:rFonts w:ascii="Segoe UI" w:eastAsia="Times New Roman" w:hAnsi="Segoe UI" w:cs="Segoe UI"/>
          <w:color w:val="000000"/>
          <w:kern w:val="0"/>
          <w:sz w:val="21"/>
          <w:szCs w:val="21"/>
          <w:lang w:eastAsia="es-CO"/>
          <w14:ligatures w14:val="none"/>
        </w:rPr>
        <w:t>) del Estatuto Tributario</w:t>
      </w:r>
      <w:hyperlink r:id="rId18" w:anchor="cite_note-3" w:history="1">
        <w:r w:rsidRPr="007416E1">
          <w:rPr>
            <w:rFonts w:ascii="Segoe UI" w:eastAsia="Times New Roman" w:hAnsi="Segoe UI" w:cs="Segoe UI"/>
            <w:color w:val="0645AD"/>
            <w:kern w:val="0"/>
            <w:sz w:val="21"/>
            <w:szCs w:val="21"/>
            <w:u w:val="single"/>
            <w:vertAlign w:val="superscript"/>
            <w:lang w:eastAsia="es-CO"/>
            <w14:ligatures w14:val="none"/>
          </w:rPr>
          <w:t>3</w:t>
        </w:r>
      </w:hyperlink>
      <w:r w:rsidRPr="007416E1">
        <w:rPr>
          <w:rFonts w:ascii="Segoe UI" w:eastAsia="Times New Roman" w:hAnsi="Segoe UI" w:cs="Segoe UI"/>
          <w:color w:val="000000"/>
          <w:kern w:val="0"/>
          <w:sz w:val="21"/>
          <w:szCs w:val="21"/>
          <w:lang w:eastAsia="es-CO"/>
          <w14:ligatures w14:val="none"/>
        </w:rPr>
        <w:t> pues con ello se vulnera el principio </w:t>
      </w:r>
      <w:r w:rsidRPr="007416E1">
        <w:rPr>
          <w:rFonts w:ascii="Segoe UI" w:eastAsia="Times New Roman" w:hAnsi="Segoe UI" w:cs="Segoe UI"/>
          <w:i/>
          <w:iCs/>
          <w:color w:val="000000"/>
          <w:kern w:val="0"/>
          <w:sz w:val="21"/>
          <w:szCs w:val="21"/>
          <w:lang w:eastAsia="es-CO"/>
          <w14:ligatures w14:val="none"/>
        </w:rPr>
        <w:t>non bis in ídem</w:t>
      </w:r>
      <w:r w:rsidRPr="007416E1">
        <w:rPr>
          <w:rFonts w:ascii="Segoe UI" w:eastAsia="Times New Roman" w:hAnsi="Segoe UI" w:cs="Segoe UI"/>
          <w:color w:val="000000"/>
          <w:kern w:val="0"/>
          <w:sz w:val="21"/>
          <w:szCs w:val="21"/>
          <w:lang w:eastAsia="es-CO"/>
          <w14:ligatures w14:val="none"/>
        </w:rPr>
        <w:t> previsto en el artículo 29 de la Constitución Política.</w:t>
      </w:r>
    </w:p>
    <w:p w14:paraId="77ED4AEC"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65604AF3"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En efecto, en la Sentencia del 25 de julio de 2019, Exp. No. 73001-23-31-000-2012-00323-01 (21703) la Sección Cuarta del Consejo de Estado sostuvo:</w:t>
      </w:r>
    </w:p>
    <w:p w14:paraId="3A283900"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341F7DFB"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r w:rsidRPr="007416E1">
        <w:rPr>
          <w:rFonts w:ascii="Segoe UI" w:eastAsia="Times New Roman" w:hAnsi="Segoe UI" w:cs="Segoe UI"/>
          <w:b/>
          <w:bCs/>
          <w:color w:val="000000"/>
          <w:kern w:val="0"/>
          <w:sz w:val="21"/>
          <w:szCs w:val="21"/>
          <w:lang w:eastAsia="es-CO"/>
          <w14:ligatures w14:val="none"/>
        </w:rPr>
        <w:t>la aplicación del </w:t>
      </w:r>
      <w:hyperlink r:id="rId19" w:tooltip="Estatuto Tributario CETA" w:history="1">
        <w:r w:rsidRPr="007416E1">
          <w:rPr>
            <w:rFonts w:ascii="Segoe UI" w:eastAsia="Times New Roman" w:hAnsi="Segoe UI" w:cs="Segoe UI"/>
            <w:b/>
            <w:bCs/>
            <w:color w:val="0645AD"/>
            <w:kern w:val="0"/>
            <w:sz w:val="21"/>
            <w:szCs w:val="21"/>
            <w:u w:val="single"/>
            <w:lang w:eastAsia="es-CO"/>
            <w14:ligatures w14:val="none"/>
          </w:rPr>
          <w:t>artículo 647-1</w:t>
        </w:r>
      </w:hyperlink>
      <w:r w:rsidRPr="007416E1">
        <w:rPr>
          <w:rFonts w:ascii="Segoe UI" w:eastAsia="Times New Roman" w:hAnsi="Segoe UI" w:cs="Segoe UI"/>
          <w:b/>
          <w:bCs/>
          <w:color w:val="000000"/>
          <w:kern w:val="0"/>
          <w:sz w:val="21"/>
          <w:szCs w:val="21"/>
          <w:lang w:eastAsia="es-CO"/>
          <w14:ligatures w14:val="none"/>
        </w:rPr>
        <w:t> del ET es excluyente con la del </w:t>
      </w:r>
      <w:hyperlink r:id="rId20" w:tooltip="Estatuto Tributario CETA" w:history="1">
        <w:r w:rsidRPr="007416E1">
          <w:rPr>
            <w:rFonts w:ascii="Segoe UI" w:eastAsia="Times New Roman" w:hAnsi="Segoe UI" w:cs="Segoe UI"/>
            <w:b/>
            <w:bCs/>
            <w:color w:val="0645AD"/>
            <w:kern w:val="0"/>
            <w:sz w:val="21"/>
            <w:szCs w:val="21"/>
            <w:u w:val="single"/>
            <w:lang w:eastAsia="es-CO"/>
            <w14:ligatures w14:val="none"/>
          </w:rPr>
          <w:t>artículo 647</w:t>
        </w:r>
      </w:hyperlink>
      <w:r w:rsidRPr="007416E1">
        <w:rPr>
          <w:rFonts w:ascii="Segoe UI" w:eastAsia="Times New Roman" w:hAnsi="Segoe UI" w:cs="Segoe UI"/>
          <w:b/>
          <w:bCs/>
          <w:color w:val="000000"/>
          <w:kern w:val="0"/>
          <w:sz w:val="21"/>
          <w:szCs w:val="21"/>
          <w:lang w:eastAsia="es-CO"/>
          <w14:ligatures w14:val="none"/>
        </w:rPr>
        <w:t> </w:t>
      </w:r>
      <w:r w:rsidRPr="007416E1">
        <w:rPr>
          <w:rFonts w:ascii="Segoe UI" w:eastAsia="Times New Roman" w:hAnsi="Segoe UI" w:cs="Segoe UI"/>
          <w:b/>
          <w:bCs/>
          <w:i/>
          <w:iCs/>
          <w:color w:val="000000"/>
          <w:kern w:val="0"/>
          <w:sz w:val="21"/>
          <w:szCs w:val="21"/>
          <w:lang w:eastAsia="es-CO"/>
          <w14:ligatures w14:val="none"/>
        </w:rPr>
        <w:t>ibidem</w:t>
      </w:r>
      <w:r w:rsidRPr="007416E1">
        <w:rPr>
          <w:rFonts w:ascii="Segoe UI" w:eastAsia="Times New Roman" w:hAnsi="Segoe UI" w:cs="Segoe UI"/>
          <w:b/>
          <w:bCs/>
          <w:color w:val="000000"/>
          <w:kern w:val="0"/>
          <w:sz w:val="21"/>
          <w:szCs w:val="21"/>
          <w:lang w:eastAsia="es-CO"/>
          <w14:ligatures w14:val="none"/>
        </w:rPr>
        <w:t>, porque el primero de ellos no contempla una sanción autónoma sino la base para liquidar la sanción de inexactitud o de corrección, en caso de rechazo o disminución de pérdidas que </w:t>
      </w:r>
      <w:r w:rsidRPr="007416E1">
        <w:rPr>
          <w:rFonts w:ascii="Segoe UI" w:eastAsia="Times New Roman" w:hAnsi="Segoe UI" w:cs="Segoe UI"/>
          <w:b/>
          <w:bCs/>
          <w:color w:val="000000"/>
          <w:kern w:val="0"/>
          <w:sz w:val="21"/>
          <w:szCs w:val="21"/>
          <w:u w:val="single"/>
          <w:lang w:eastAsia="es-CO"/>
          <w14:ligatures w14:val="none"/>
        </w:rPr>
        <w:t>no</w:t>
      </w:r>
      <w:r w:rsidRPr="007416E1">
        <w:rPr>
          <w:rFonts w:ascii="Segoe UI" w:eastAsia="Times New Roman" w:hAnsi="Segoe UI" w:cs="Segoe UI"/>
          <w:b/>
          <w:bCs/>
          <w:color w:val="000000"/>
          <w:kern w:val="0"/>
          <w:sz w:val="21"/>
          <w:szCs w:val="21"/>
          <w:lang w:eastAsia="es-CO"/>
          <w14:ligatures w14:val="none"/>
        </w:rPr>
        <w:t> modifiquen el saldo a favor o el saldo a pagar declarado, porque si esa modificación ocurre cobraría aplicación el referido </w:t>
      </w:r>
      <w:hyperlink r:id="rId21" w:tooltip="Estatuto Tributario CETA" w:history="1">
        <w:r w:rsidRPr="007416E1">
          <w:rPr>
            <w:rFonts w:ascii="Segoe UI" w:eastAsia="Times New Roman" w:hAnsi="Segoe UI" w:cs="Segoe UI"/>
            <w:b/>
            <w:bCs/>
            <w:color w:val="0645AD"/>
            <w:kern w:val="0"/>
            <w:sz w:val="21"/>
            <w:szCs w:val="21"/>
            <w:u w:val="single"/>
            <w:lang w:eastAsia="es-CO"/>
            <w14:ligatures w14:val="none"/>
          </w:rPr>
          <w:t>artículo 647</w:t>
        </w:r>
      </w:hyperlink>
      <w:r w:rsidRPr="007416E1">
        <w:rPr>
          <w:rFonts w:ascii="Segoe UI" w:eastAsia="Times New Roman" w:hAnsi="Segoe UI" w:cs="Segoe UI"/>
          <w:b/>
          <w:bCs/>
          <w:color w:val="000000"/>
          <w:kern w:val="0"/>
          <w:sz w:val="21"/>
          <w:szCs w:val="21"/>
          <w:lang w:eastAsia="es-CO"/>
          <w14:ligatures w14:val="none"/>
        </w:rPr>
        <w:t> ET, que castiga las conductas inexactas de las que </w:t>
      </w:r>
      <w:r w:rsidRPr="007416E1">
        <w:rPr>
          <w:rFonts w:ascii="Segoe UI" w:eastAsia="Times New Roman" w:hAnsi="Segoe UI" w:cs="Segoe UI"/>
          <w:b/>
          <w:bCs/>
          <w:i/>
          <w:iCs/>
          <w:color w:val="000000"/>
          <w:kern w:val="0"/>
          <w:sz w:val="21"/>
          <w:szCs w:val="21"/>
          <w:lang w:eastAsia="es-CO"/>
          <w14:ligatures w14:val="none"/>
        </w:rPr>
        <w:t>“</w:t>
      </w:r>
      <w:r w:rsidRPr="007416E1">
        <w:rPr>
          <w:rFonts w:ascii="Segoe UI" w:eastAsia="Times New Roman" w:hAnsi="Segoe UI" w:cs="Segoe UI"/>
          <w:color w:val="000000"/>
          <w:kern w:val="0"/>
          <w:sz w:val="21"/>
          <w:szCs w:val="21"/>
          <w:lang w:eastAsia="es-CO"/>
          <w14:ligatures w14:val="none"/>
        </w:rPr>
        <w:t>se derive un menor </w:t>
      </w:r>
      <w:r w:rsidRPr="007416E1">
        <w:rPr>
          <w:rFonts w:ascii="Segoe UI" w:eastAsia="Times New Roman" w:hAnsi="Segoe UI" w:cs="Segoe UI"/>
          <w:b/>
          <w:bCs/>
          <w:i/>
          <w:iCs/>
          <w:color w:val="000000"/>
          <w:kern w:val="0"/>
          <w:sz w:val="21"/>
          <w:szCs w:val="21"/>
          <w:lang w:eastAsia="es-CO"/>
          <w14:ligatures w14:val="none"/>
        </w:rPr>
        <w:t>impuesto o saldo a pagar, o un mayor saldo a favor para el contribuyente o responsable”</w:t>
      </w:r>
      <w:r w:rsidRPr="007416E1">
        <w:rPr>
          <w:rFonts w:ascii="Segoe UI" w:eastAsia="Times New Roman" w:hAnsi="Segoe UI" w:cs="Segoe UI"/>
          <w:b/>
          <w:bCs/>
          <w:color w:val="000000"/>
          <w:kern w:val="0"/>
          <w:sz w:val="21"/>
          <w:szCs w:val="21"/>
          <w:lang w:eastAsia="es-CO"/>
          <w14:ligatures w14:val="none"/>
        </w:rPr>
        <w:t>.</w:t>
      </w:r>
    </w:p>
    <w:p w14:paraId="3730DCE0"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68965D48"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lastRenderedPageBreak/>
        <w:t>Y es que, a la luz del principio </w:t>
      </w:r>
      <w:r w:rsidRPr="007416E1">
        <w:rPr>
          <w:rFonts w:ascii="Segoe UI" w:eastAsia="Times New Roman" w:hAnsi="Segoe UI" w:cs="Segoe UI"/>
          <w:b/>
          <w:bCs/>
          <w:i/>
          <w:iCs/>
          <w:color w:val="000000"/>
          <w:kern w:val="0"/>
          <w:sz w:val="21"/>
          <w:szCs w:val="21"/>
          <w:lang w:eastAsia="es-CO"/>
          <w14:ligatures w14:val="none"/>
        </w:rPr>
        <w:t>“non bis in ídem”</w:t>
      </w:r>
      <w:r w:rsidRPr="007416E1">
        <w:rPr>
          <w:rFonts w:ascii="Segoe UI" w:eastAsia="Times New Roman" w:hAnsi="Segoe UI" w:cs="Segoe UI"/>
          <w:b/>
          <w:bCs/>
          <w:color w:val="000000"/>
          <w:kern w:val="0"/>
          <w:sz w:val="21"/>
          <w:szCs w:val="21"/>
          <w:lang w:eastAsia="es-CO"/>
          <w14:ligatures w14:val="none"/>
        </w:rPr>
        <w:t>, el Estado no puede imputar más de una vez la misma conducta sancionable, cualquiera que sea la denominación jurídica que tenga. </w:t>
      </w:r>
      <w:r w:rsidRPr="007416E1">
        <w:rPr>
          <w:rFonts w:ascii="Segoe UI" w:eastAsia="Times New Roman" w:hAnsi="Segoe UI" w:cs="Segoe UI"/>
          <w:color w:val="000000"/>
          <w:kern w:val="0"/>
          <w:sz w:val="21"/>
          <w:szCs w:val="21"/>
          <w:lang w:eastAsia="es-CO"/>
          <w14:ligatures w14:val="none"/>
        </w:rPr>
        <w:t>(…).» (Negrilla, cursivas y subrayado del texto de la Sala)</w:t>
      </w:r>
    </w:p>
    <w:p w14:paraId="6B85802D"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7B932333"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En la misma línea, pueden verse, entre otras, las sentencias del 24 de octubre de 2018, Exp. No. 08001-23-31-000-2012-00521-01 (21516)</w:t>
      </w:r>
      <w:hyperlink r:id="rId22" w:anchor="cite_note-4" w:history="1">
        <w:r w:rsidRPr="007416E1">
          <w:rPr>
            <w:rFonts w:ascii="Segoe UI" w:eastAsia="Times New Roman" w:hAnsi="Segoe UI" w:cs="Segoe UI"/>
            <w:color w:val="0645AD"/>
            <w:kern w:val="0"/>
            <w:sz w:val="21"/>
            <w:szCs w:val="21"/>
            <w:u w:val="single"/>
            <w:vertAlign w:val="superscript"/>
            <w:lang w:eastAsia="es-CO"/>
            <w14:ligatures w14:val="none"/>
          </w:rPr>
          <w:t>4</w:t>
        </w:r>
      </w:hyperlink>
      <w:r w:rsidRPr="007416E1">
        <w:rPr>
          <w:rFonts w:ascii="Segoe UI" w:eastAsia="Times New Roman" w:hAnsi="Segoe UI" w:cs="Segoe UI"/>
          <w:color w:val="000000"/>
          <w:kern w:val="0"/>
          <w:sz w:val="21"/>
          <w:szCs w:val="21"/>
          <w:lang w:eastAsia="es-CO"/>
          <w14:ligatures w14:val="none"/>
        </w:rPr>
        <w:t> y del 30 de junio de 2022, exp.05001-23-33-000-2014-00960-01 (25867)</w:t>
      </w:r>
      <w:hyperlink r:id="rId23" w:anchor="cite_note-5" w:history="1">
        <w:r w:rsidRPr="007416E1">
          <w:rPr>
            <w:rFonts w:ascii="Segoe UI" w:eastAsia="Times New Roman" w:hAnsi="Segoe UI" w:cs="Segoe UI"/>
            <w:color w:val="0645AD"/>
            <w:kern w:val="0"/>
            <w:sz w:val="21"/>
            <w:szCs w:val="21"/>
            <w:u w:val="single"/>
            <w:vertAlign w:val="superscript"/>
            <w:lang w:eastAsia="es-CO"/>
            <w14:ligatures w14:val="none"/>
          </w:rPr>
          <w:t>5</w:t>
        </w:r>
      </w:hyperlink>
      <w:r w:rsidRPr="007416E1">
        <w:rPr>
          <w:rFonts w:ascii="Segoe UI" w:eastAsia="Times New Roman" w:hAnsi="Segoe UI" w:cs="Segoe UI"/>
          <w:color w:val="000000"/>
          <w:kern w:val="0"/>
          <w:sz w:val="21"/>
          <w:szCs w:val="21"/>
          <w:lang w:eastAsia="es-CO"/>
          <w14:ligatures w14:val="none"/>
        </w:rPr>
        <w:t> de la Sección Cuarta del Consejo de Estado.</w:t>
      </w:r>
    </w:p>
    <w:p w14:paraId="56BA483F"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4372884E"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Para ilustrar lo expuesto, a continuación, se expone un ejemplo. El supuesto fáctico es el siguiente: el contribuyente (persona jurídica) presenta su liquidación privada liquidando una pérdida fiscal. En el marco de un proceso de fiscalización, la autoridad tributaria modifica la declaración privada del contribuyente.</w:t>
      </w:r>
    </w:p>
    <w:p w14:paraId="1BE3F600"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670"/>
        <w:gridCol w:w="2067"/>
        <w:gridCol w:w="1569"/>
        <w:gridCol w:w="1569"/>
      </w:tblGrid>
      <w:tr w:rsidR="007416E1" w:rsidRPr="007416E1" w14:paraId="02080842" w14:textId="77777777" w:rsidTr="007416E1">
        <w:tc>
          <w:tcPr>
            <w:tcW w:w="3670"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61136D"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b/>
                <w:bCs/>
                <w:kern w:val="0"/>
                <w:sz w:val="21"/>
                <w:szCs w:val="21"/>
                <w:lang w:eastAsia="es-CO"/>
                <w14:ligatures w14:val="none"/>
              </w:rPr>
              <w:t>Concepto</w:t>
            </w:r>
          </w:p>
        </w:tc>
        <w:tc>
          <w:tcPr>
            <w:tcW w:w="2067"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3303A2"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b/>
                <w:bCs/>
                <w:kern w:val="0"/>
                <w:sz w:val="21"/>
                <w:szCs w:val="21"/>
                <w:lang w:eastAsia="es-CO"/>
                <w14:ligatures w14:val="none"/>
              </w:rPr>
              <w:t>Liquidación Privada</w:t>
            </w:r>
          </w:p>
        </w:tc>
        <w:tc>
          <w:tcPr>
            <w:tcW w:w="3138"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1F18D2"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b/>
                <w:bCs/>
                <w:kern w:val="0"/>
                <w:sz w:val="21"/>
                <w:szCs w:val="21"/>
                <w:lang w:eastAsia="es-CO"/>
                <w14:ligatures w14:val="none"/>
              </w:rPr>
              <w:t>Liquidación Oficial de Revisión</w:t>
            </w:r>
          </w:p>
        </w:tc>
      </w:tr>
      <w:tr w:rsidR="007416E1" w:rsidRPr="007416E1" w14:paraId="08562425" w14:textId="77777777" w:rsidTr="007416E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3188E6" w14:textId="77777777" w:rsidR="007416E1" w:rsidRPr="007416E1" w:rsidRDefault="007416E1" w:rsidP="007416E1">
            <w:pPr>
              <w:spacing w:after="0" w:line="240" w:lineRule="auto"/>
              <w:jc w:val="both"/>
              <w:rPr>
                <w:rFonts w:ascii="Segoe UI" w:eastAsia="Times New Roman" w:hAnsi="Segoe UI" w:cs="Segoe UI"/>
                <w:kern w:val="0"/>
                <w:sz w:val="21"/>
                <w:szCs w:val="21"/>
                <w:lang w:eastAsia="es-CO"/>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5D8685" w14:textId="77777777" w:rsidR="007416E1" w:rsidRPr="007416E1" w:rsidRDefault="007416E1" w:rsidP="007416E1">
            <w:pPr>
              <w:spacing w:after="0" w:line="240" w:lineRule="auto"/>
              <w:jc w:val="both"/>
              <w:rPr>
                <w:rFonts w:ascii="Segoe UI" w:eastAsia="Times New Roman" w:hAnsi="Segoe UI" w:cs="Segoe UI"/>
                <w:kern w:val="0"/>
                <w:sz w:val="21"/>
                <w:szCs w:val="21"/>
                <w:lang w:eastAsia="es-CO"/>
                <w14:ligatures w14:val="none"/>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FE782B"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Supuesto No. 1</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54EEB3"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Supuesto No. 2</w:t>
            </w:r>
          </w:p>
        </w:tc>
      </w:tr>
      <w:tr w:rsidR="007416E1" w:rsidRPr="007416E1" w14:paraId="12F089B9" w14:textId="77777777" w:rsidTr="007416E1">
        <w:tc>
          <w:tcPr>
            <w:tcW w:w="36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B54E1F"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Ingresos</w:t>
            </w:r>
          </w:p>
        </w:tc>
        <w:tc>
          <w:tcPr>
            <w:tcW w:w="2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82DB52"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$1.000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24AD89"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$1.000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2224F5"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$1.000</w:t>
            </w:r>
          </w:p>
        </w:tc>
      </w:tr>
      <w:tr w:rsidR="007416E1" w:rsidRPr="007416E1" w14:paraId="216894D8" w14:textId="77777777" w:rsidTr="007416E1">
        <w:tc>
          <w:tcPr>
            <w:tcW w:w="36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E032F5"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Costos</w:t>
            </w:r>
          </w:p>
        </w:tc>
        <w:tc>
          <w:tcPr>
            <w:tcW w:w="2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0FB60D"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$200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C7CA6C"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AD3F77"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$200</w:t>
            </w:r>
          </w:p>
        </w:tc>
      </w:tr>
      <w:tr w:rsidR="007416E1" w:rsidRPr="007416E1" w14:paraId="67741334" w14:textId="77777777" w:rsidTr="007416E1">
        <w:tc>
          <w:tcPr>
            <w:tcW w:w="36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22E96D"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Renta Bruta</w:t>
            </w:r>
          </w:p>
        </w:tc>
        <w:tc>
          <w:tcPr>
            <w:tcW w:w="2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61D4F7"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$800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33BD74"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$1000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F7EE0B"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$800</w:t>
            </w:r>
          </w:p>
        </w:tc>
      </w:tr>
      <w:tr w:rsidR="007416E1" w:rsidRPr="007416E1" w14:paraId="04909157" w14:textId="77777777" w:rsidTr="007416E1">
        <w:tc>
          <w:tcPr>
            <w:tcW w:w="36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11B1B7"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Deducciones</w:t>
            </w:r>
          </w:p>
        </w:tc>
        <w:tc>
          <w:tcPr>
            <w:tcW w:w="2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DBB50A"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$1000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BD0857"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F5C4EE"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$800</w:t>
            </w:r>
          </w:p>
        </w:tc>
      </w:tr>
      <w:tr w:rsidR="007416E1" w:rsidRPr="007416E1" w14:paraId="204D38F1" w14:textId="77777777" w:rsidTr="007416E1">
        <w:tc>
          <w:tcPr>
            <w:tcW w:w="36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2476E5"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Renta líquida gravable (Pérdida Fiscal)</w:t>
            </w:r>
            <w:hyperlink r:id="rId24" w:anchor="cite_note-6" w:history="1">
              <w:r w:rsidRPr="007416E1">
                <w:rPr>
                  <w:rFonts w:ascii="Segoe UI" w:eastAsia="Times New Roman" w:hAnsi="Segoe UI" w:cs="Segoe UI"/>
                  <w:color w:val="0645AD"/>
                  <w:kern w:val="0"/>
                  <w:sz w:val="21"/>
                  <w:szCs w:val="21"/>
                  <w:u w:val="single"/>
                  <w:vertAlign w:val="superscript"/>
                  <w:lang w:eastAsia="es-CO"/>
                  <w14:ligatures w14:val="none"/>
                </w:rPr>
                <w:t>6</w:t>
              </w:r>
            </w:hyperlink>
          </w:p>
        </w:tc>
        <w:tc>
          <w:tcPr>
            <w:tcW w:w="2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F20330"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($200) PF</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7113AA"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$1000 RLG</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0C48B0"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$0 RLG</w:t>
            </w:r>
          </w:p>
        </w:tc>
      </w:tr>
      <w:tr w:rsidR="007416E1" w:rsidRPr="007416E1" w14:paraId="735B2E39" w14:textId="77777777" w:rsidTr="007416E1">
        <w:tc>
          <w:tcPr>
            <w:tcW w:w="36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8E4772"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Tarifa</w:t>
            </w:r>
          </w:p>
        </w:tc>
        <w:tc>
          <w:tcPr>
            <w:tcW w:w="2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57CEB5"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35%</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A1DDFA"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35%</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CDB30F"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35%</w:t>
            </w:r>
          </w:p>
        </w:tc>
      </w:tr>
      <w:tr w:rsidR="007416E1" w:rsidRPr="007416E1" w14:paraId="6B07CE1C" w14:textId="77777777" w:rsidTr="007416E1">
        <w:tc>
          <w:tcPr>
            <w:tcW w:w="36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C093081"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proofErr w:type="gramStart"/>
            <w:r w:rsidRPr="007416E1">
              <w:rPr>
                <w:rFonts w:ascii="Segoe UI" w:eastAsia="Times New Roman" w:hAnsi="Segoe UI" w:cs="Segoe UI"/>
                <w:kern w:val="0"/>
                <w:sz w:val="21"/>
                <w:szCs w:val="21"/>
                <w:lang w:eastAsia="es-CO"/>
                <w14:ligatures w14:val="none"/>
              </w:rPr>
              <w:t>Saldo a pagar</w:t>
            </w:r>
            <w:proofErr w:type="gramEnd"/>
            <w:r w:rsidRPr="007416E1">
              <w:rPr>
                <w:rFonts w:ascii="Segoe UI" w:eastAsia="Times New Roman" w:hAnsi="Segoe UI" w:cs="Segoe UI"/>
                <w:kern w:val="0"/>
                <w:sz w:val="21"/>
                <w:szCs w:val="21"/>
                <w:lang w:eastAsia="es-CO"/>
                <w14:ligatures w14:val="none"/>
              </w:rPr>
              <w:t xml:space="preserve"> o saldo a favor</w:t>
            </w:r>
          </w:p>
        </w:tc>
        <w:tc>
          <w:tcPr>
            <w:tcW w:w="206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9678A3"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9EF2C3"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$350</w:t>
            </w:r>
          </w:p>
        </w:tc>
        <w:tc>
          <w:tcPr>
            <w:tcW w:w="156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D3EBBE" w14:textId="77777777" w:rsidR="007416E1" w:rsidRPr="007416E1" w:rsidRDefault="007416E1" w:rsidP="007416E1">
            <w:pPr>
              <w:spacing w:after="0" w:line="240" w:lineRule="auto"/>
              <w:jc w:val="center"/>
              <w:rPr>
                <w:rFonts w:ascii="Segoe UI" w:eastAsia="Times New Roman" w:hAnsi="Segoe UI" w:cs="Segoe UI"/>
                <w:kern w:val="0"/>
                <w:sz w:val="21"/>
                <w:szCs w:val="21"/>
                <w:lang w:eastAsia="es-CO"/>
                <w14:ligatures w14:val="none"/>
              </w:rPr>
            </w:pPr>
            <w:r w:rsidRPr="007416E1">
              <w:rPr>
                <w:rFonts w:ascii="Segoe UI" w:eastAsia="Times New Roman" w:hAnsi="Segoe UI" w:cs="Segoe UI"/>
                <w:kern w:val="0"/>
                <w:sz w:val="21"/>
                <w:szCs w:val="21"/>
                <w:lang w:eastAsia="es-CO"/>
                <w14:ligatures w14:val="none"/>
              </w:rPr>
              <w:t>$0</w:t>
            </w:r>
          </w:p>
        </w:tc>
      </w:tr>
    </w:tbl>
    <w:p w14:paraId="257AEC34"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77C44D3F"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40D4593B"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En ese contexto, se analiza cada uno de los supuestos planteados:</w:t>
      </w:r>
    </w:p>
    <w:p w14:paraId="2D700347"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3D3A8246"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u w:val="single"/>
          <w:lang w:eastAsia="es-CO"/>
          <w14:ligatures w14:val="none"/>
        </w:rPr>
        <w:t>Supuesto No. 1:</w:t>
      </w:r>
      <w:r w:rsidRPr="007416E1">
        <w:rPr>
          <w:rFonts w:ascii="Segoe UI" w:eastAsia="Times New Roman" w:hAnsi="Segoe UI" w:cs="Segoe UI"/>
          <w:b/>
          <w:bCs/>
          <w:color w:val="000000"/>
          <w:kern w:val="0"/>
          <w:sz w:val="21"/>
          <w:szCs w:val="21"/>
          <w:lang w:eastAsia="es-CO"/>
          <w14:ligatures w14:val="none"/>
        </w:rPr>
        <w:t> </w:t>
      </w:r>
      <w:r w:rsidRPr="007416E1">
        <w:rPr>
          <w:rFonts w:ascii="Segoe UI" w:eastAsia="Times New Roman" w:hAnsi="Segoe UI" w:cs="Segoe UI"/>
          <w:color w:val="000000"/>
          <w:kern w:val="0"/>
          <w:sz w:val="21"/>
          <w:szCs w:val="21"/>
          <w:lang w:eastAsia="es-CO"/>
          <w14:ligatures w14:val="none"/>
        </w:rPr>
        <w:t>Se rechaza el 100% de los costos y deducciones, lo que genera el rechazo de la pérdida líquida declarada por el contribuyente y, consecuentemente, una renta líquida gravable de $1.000.</w:t>
      </w:r>
    </w:p>
    <w:p w14:paraId="08A49C36"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2E0982DC"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A la luz de lo expuesto, resulta </w:t>
      </w:r>
      <w:r w:rsidRPr="007416E1">
        <w:rPr>
          <w:rFonts w:ascii="Segoe UI" w:eastAsia="Times New Roman" w:hAnsi="Segoe UI" w:cs="Segoe UI"/>
          <w:b/>
          <w:bCs/>
          <w:color w:val="000000"/>
          <w:kern w:val="0"/>
          <w:sz w:val="21"/>
          <w:szCs w:val="21"/>
          <w:lang w:eastAsia="es-CO"/>
          <w14:ligatures w14:val="none"/>
        </w:rPr>
        <w:t>improcedente </w:t>
      </w:r>
      <w:r w:rsidRPr="007416E1">
        <w:rPr>
          <w:rFonts w:ascii="Segoe UI" w:eastAsia="Times New Roman" w:hAnsi="Segoe UI" w:cs="Segoe UI"/>
          <w:color w:val="000000"/>
          <w:kern w:val="0"/>
          <w:sz w:val="21"/>
          <w:szCs w:val="21"/>
          <w:lang w:eastAsia="es-CO"/>
          <w14:ligatures w14:val="none"/>
        </w:rPr>
        <w:t>liquidar la sanción por inexactitud teniendo en cuenta:</w:t>
      </w:r>
    </w:p>
    <w:p w14:paraId="3DEDF116"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6C46B78D"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1. La base derivada del rechazo de pérdidas prevista en el </w:t>
      </w:r>
      <w:hyperlink r:id="rId25" w:tooltip="Estatuto Tributario CETA" w:history="1">
        <w:r w:rsidRPr="007416E1">
          <w:rPr>
            <w:rFonts w:ascii="Segoe UI" w:eastAsia="Times New Roman" w:hAnsi="Segoe UI" w:cs="Segoe UI"/>
            <w:color w:val="0645AD"/>
            <w:kern w:val="0"/>
            <w:sz w:val="21"/>
            <w:szCs w:val="21"/>
            <w:u w:val="single"/>
            <w:lang w:eastAsia="es-CO"/>
            <w14:ligatures w14:val="none"/>
          </w:rPr>
          <w:t>artículo 647-1</w:t>
        </w:r>
      </w:hyperlink>
      <w:r w:rsidRPr="007416E1">
        <w:rPr>
          <w:rFonts w:ascii="Segoe UI" w:eastAsia="Times New Roman" w:hAnsi="Segoe UI" w:cs="Segoe UI"/>
          <w:color w:val="000000"/>
          <w:kern w:val="0"/>
          <w:sz w:val="21"/>
          <w:szCs w:val="21"/>
          <w:lang w:eastAsia="es-CO"/>
          <w14:ligatures w14:val="none"/>
        </w:rPr>
        <w:t> del Estatuto Tributario; es decir, $70 que es el resultado de calcular el impuesto que teóricamente generaría la pérdida rechazada oficialmente ($200 * 35%); </w:t>
      </w:r>
      <w:r w:rsidRPr="007416E1">
        <w:rPr>
          <w:rFonts w:ascii="Segoe UI" w:eastAsia="Times New Roman" w:hAnsi="Segoe UI" w:cs="Segoe UI"/>
          <w:b/>
          <w:bCs/>
          <w:color w:val="000000"/>
          <w:kern w:val="0"/>
          <w:sz w:val="21"/>
          <w:szCs w:val="21"/>
          <w:lang w:eastAsia="es-CO"/>
          <w14:ligatures w14:val="none"/>
        </w:rPr>
        <w:t>y</w:t>
      </w:r>
    </w:p>
    <w:p w14:paraId="6FFC7EE7"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2. La base prevista en el </w:t>
      </w:r>
      <w:hyperlink r:id="rId26" w:tooltip="Estatuto Tributario CETA" w:history="1">
        <w:r w:rsidRPr="007416E1">
          <w:rPr>
            <w:rFonts w:ascii="Segoe UI" w:eastAsia="Times New Roman" w:hAnsi="Segoe UI" w:cs="Segoe UI"/>
            <w:color w:val="0645AD"/>
            <w:kern w:val="0"/>
            <w:sz w:val="21"/>
            <w:szCs w:val="21"/>
            <w:u w:val="single"/>
            <w:lang w:eastAsia="es-CO"/>
            <w14:ligatures w14:val="none"/>
          </w:rPr>
          <w:t>artículo 648</w:t>
        </w:r>
      </w:hyperlink>
      <w:r w:rsidRPr="007416E1">
        <w:rPr>
          <w:rFonts w:ascii="Segoe UI" w:eastAsia="Times New Roman" w:hAnsi="Segoe UI" w:cs="Segoe UI"/>
          <w:color w:val="000000"/>
          <w:kern w:val="0"/>
          <w:sz w:val="21"/>
          <w:szCs w:val="21"/>
          <w:lang w:eastAsia="es-CO"/>
          <w14:ligatures w14:val="none"/>
        </w:rPr>
        <w:t> del Estatuto Tributario; es decir $350, que corresponde a la diferencia entre el saldo a pagar determinado en la liquidación oficial ($350) y el declarado por el contribuyente ($0).</w:t>
      </w:r>
    </w:p>
    <w:p w14:paraId="449D464D"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609EBE7B"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Este proceder, derivaría en una sanción por inexactitud que vulnera el principio </w:t>
      </w:r>
      <w:r w:rsidRPr="007416E1">
        <w:rPr>
          <w:rFonts w:ascii="Segoe UI" w:eastAsia="Times New Roman" w:hAnsi="Segoe UI" w:cs="Segoe UI"/>
          <w:i/>
          <w:iCs/>
          <w:color w:val="000000"/>
          <w:kern w:val="0"/>
          <w:sz w:val="21"/>
          <w:szCs w:val="21"/>
          <w:lang w:eastAsia="es-CO"/>
          <w14:ligatures w14:val="none"/>
        </w:rPr>
        <w:t>non bis in ídem</w:t>
      </w:r>
      <w:r w:rsidRPr="007416E1">
        <w:rPr>
          <w:rFonts w:ascii="Segoe UI" w:eastAsia="Times New Roman" w:hAnsi="Segoe UI" w:cs="Segoe UI"/>
          <w:color w:val="000000"/>
          <w:kern w:val="0"/>
          <w:sz w:val="21"/>
          <w:szCs w:val="21"/>
          <w:lang w:eastAsia="es-CO"/>
          <w14:ligatures w14:val="none"/>
        </w:rPr>
        <w:t> por valor de $420; que es el resultado de sumar $70 y $350 en el ejemplo.</w:t>
      </w:r>
    </w:p>
    <w:p w14:paraId="44FE4B9A"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6AA72165"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En este caso, al existir modificación del saldo a pagar por parte del contribuyente, la sanción por inexactitud se debe liquidar con base en lo previsto en el </w:t>
      </w:r>
      <w:hyperlink r:id="rId27" w:tooltip="Estatuto Tributario CETA" w:history="1">
        <w:r w:rsidRPr="007416E1">
          <w:rPr>
            <w:rFonts w:ascii="Segoe UI" w:eastAsia="Times New Roman" w:hAnsi="Segoe UI" w:cs="Segoe UI"/>
            <w:color w:val="0645AD"/>
            <w:kern w:val="0"/>
            <w:sz w:val="21"/>
            <w:szCs w:val="21"/>
            <w:u w:val="single"/>
            <w:lang w:eastAsia="es-CO"/>
            <w14:ligatures w14:val="none"/>
          </w:rPr>
          <w:t>artículo 648</w:t>
        </w:r>
      </w:hyperlink>
      <w:r w:rsidRPr="007416E1">
        <w:rPr>
          <w:rFonts w:ascii="Segoe UI" w:eastAsia="Times New Roman" w:hAnsi="Segoe UI" w:cs="Segoe UI"/>
          <w:color w:val="000000"/>
          <w:kern w:val="0"/>
          <w:sz w:val="21"/>
          <w:szCs w:val="21"/>
          <w:lang w:eastAsia="es-CO"/>
          <w14:ligatures w14:val="none"/>
        </w:rPr>
        <w:t> del Estatuto Tributario ($350).</w:t>
      </w:r>
    </w:p>
    <w:p w14:paraId="28B9005A"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5C4F3C4F"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u w:val="single"/>
          <w:lang w:eastAsia="es-CO"/>
          <w14:ligatures w14:val="none"/>
        </w:rPr>
        <w:t>Supuesto No. 2:</w:t>
      </w:r>
      <w:r w:rsidRPr="007416E1">
        <w:rPr>
          <w:rFonts w:ascii="Segoe UI" w:eastAsia="Times New Roman" w:hAnsi="Segoe UI" w:cs="Segoe UI"/>
          <w:b/>
          <w:bCs/>
          <w:color w:val="000000"/>
          <w:kern w:val="0"/>
          <w:sz w:val="21"/>
          <w:szCs w:val="21"/>
          <w:lang w:eastAsia="es-CO"/>
          <w14:ligatures w14:val="none"/>
        </w:rPr>
        <w:t> </w:t>
      </w:r>
      <w:r w:rsidRPr="007416E1">
        <w:rPr>
          <w:rFonts w:ascii="Segoe UI" w:eastAsia="Times New Roman" w:hAnsi="Segoe UI" w:cs="Segoe UI"/>
          <w:color w:val="000000"/>
          <w:kern w:val="0"/>
          <w:sz w:val="21"/>
          <w:szCs w:val="21"/>
          <w:lang w:eastAsia="es-CO"/>
          <w14:ligatures w14:val="none"/>
        </w:rPr>
        <w:t>Se rechaza el 20% de las deducciones, lo que genera un rechazo de la pérdida fiscal sin que genere un impuesto a cargo.</w:t>
      </w:r>
    </w:p>
    <w:p w14:paraId="66C984B4"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5BF4DDB5"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En este supuesto la base de la sanción por inexactitud es la prevista en el </w:t>
      </w:r>
      <w:hyperlink r:id="rId28" w:tooltip="Estatuto Tributario CETA" w:history="1">
        <w:r w:rsidRPr="007416E1">
          <w:rPr>
            <w:rFonts w:ascii="Segoe UI" w:eastAsia="Times New Roman" w:hAnsi="Segoe UI" w:cs="Segoe UI"/>
            <w:color w:val="0645AD"/>
            <w:kern w:val="0"/>
            <w:sz w:val="21"/>
            <w:szCs w:val="21"/>
            <w:u w:val="single"/>
            <w:lang w:eastAsia="es-CO"/>
            <w14:ligatures w14:val="none"/>
          </w:rPr>
          <w:t>artículo 647-1</w:t>
        </w:r>
      </w:hyperlink>
      <w:r w:rsidRPr="007416E1">
        <w:rPr>
          <w:rFonts w:ascii="Segoe UI" w:eastAsia="Times New Roman" w:hAnsi="Segoe UI" w:cs="Segoe UI"/>
          <w:color w:val="000000"/>
          <w:kern w:val="0"/>
          <w:sz w:val="21"/>
          <w:szCs w:val="21"/>
          <w:lang w:eastAsia="es-CO"/>
          <w14:ligatures w14:val="none"/>
        </w:rPr>
        <w:t> del Estatuto Tributario. En el ejemplo, la sanción es de $70 que corresponde al 100%</w:t>
      </w:r>
      <w:hyperlink r:id="rId29" w:anchor="cite_note-7" w:history="1">
        <w:r w:rsidRPr="007416E1">
          <w:rPr>
            <w:rFonts w:ascii="Segoe UI" w:eastAsia="Times New Roman" w:hAnsi="Segoe UI" w:cs="Segoe UI"/>
            <w:color w:val="0645AD"/>
            <w:kern w:val="0"/>
            <w:sz w:val="21"/>
            <w:szCs w:val="21"/>
            <w:u w:val="single"/>
            <w:vertAlign w:val="superscript"/>
            <w:lang w:eastAsia="es-CO"/>
            <w14:ligatures w14:val="none"/>
          </w:rPr>
          <w:t>7</w:t>
        </w:r>
      </w:hyperlink>
      <w:r w:rsidRPr="007416E1">
        <w:rPr>
          <w:rFonts w:ascii="Segoe UI" w:eastAsia="Times New Roman" w:hAnsi="Segoe UI" w:cs="Segoe UI"/>
          <w:color w:val="000000"/>
          <w:kern w:val="0"/>
          <w:sz w:val="21"/>
          <w:szCs w:val="21"/>
          <w:lang w:eastAsia="es-CO"/>
          <w14:ligatures w14:val="none"/>
        </w:rPr>
        <w:t> del impuesto que teóricamente generaría la pérdida fiscal; es decir, el 35% de $200. Como se observa de la tabla ilustrativa, la disminución de las pérdidas no modifica el saldo a pagar por parte del contribuyente pues se mantiene en $0.</w:t>
      </w:r>
    </w:p>
    <w:p w14:paraId="5BEA4D4E"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46A4A066"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lastRenderedPageBreak/>
        <w:t>Así las cosas, cuando el rechazo o la disminución de pérdidas no modifica el saldo a favor o el saldo a pagar declarado por el contribuyente, la base de la sanción equivaldrá a la cuantía del impuesto que teóricamente generaría la pérdida rechazada.</w:t>
      </w:r>
    </w:p>
    <w:p w14:paraId="34AA3495"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00B01592"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t>Conclusiones</w:t>
      </w:r>
    </w:p>
    <w:p w14:paraId="7E38228E"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4A929B58"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De lo expuesto se presentan las siguientes conclusiones:</w:t>
      </w:r>
    </w:p>
    <w:p w14:paraId="755E6ACA"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4233AFD5"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1. No procede la aplicación concurrente de los artículos </w:t>
      </w:r>
      <w:hyperlink r:id="rId30" w:tooltip="Estatuto Tributario CETA" w:history="1">
        <w:r w:rsidRPr="007416E1">
          <w:rPr>
            <w:rFonts w:ascii="Segoe UI" w:eastAsia="Times New Roman" w:hAnsi="Segoe UI" w:cs="Segoe UI"/>
            <w:color w:val="0645AD"/>
            <w:kern w:val="0"/>
            <w:sz w:val="21"/>
            <w:szCs w:val="21"/>
            <w:u w:val="single"/>
            <w:lang w:eastAsia="es-CO"/>
            <w14:ligatures w14:val="none"/>
          </w:rPr>
          <w:t>647-1</w:t>
        </w:r>
      </w:hyperlink>
      <w:r w:rsidRPr="007416E1">
        <w:rPr>
          <w:rFonts w:ascii="Segoe UI" w:eastAsia="Times New Roman" w:hAnsi="Segoe UI" w:cs="Segoe UI"/>
          <w:color w:val="000000"/>
          <w:kern w:val="0"/>
          <w:sz w:val="21"/>
          <w:szCs w:val="21"/>
          <w:lang w:eastAsia="es-CO"/>
          <w14:ligatures w14:val="none"/>
        </w:rPr>
        <w:t> y </w:t>
      </w:r>
      <w:hyperlink r:id="rId31" w:tooltip="Estatuto Tributario CETA" w:history="1">
        <w:r w:rsidRPr="007416E1">
          <w:rPr>
            <w:rFonts w:ascii="Segoe UI" w:eastAsia="Times New Roman" w:hAnsi="Segoe UI" w:cs="Segoe UI"/>
            <w:color w:val="0645AD"/>
            <w:kern w:val="0"/>
            <w:sz w:val="21"/>
            <w:szCs w:val="21"/>
            <w:u w:val="single"/>
            <w:lang w:eastAsia="es-CO"/>
            <w14:ligatures w14:val="none"/>
          </w:rPr>
          <w:t>648</w:t>
        </w:r>
      </w:hyperlink>
      <w:r w:rsidRPr="007416E1">
        <w:rPr>
          <w:rFonts w:ascii="Segoe UI" w:eastAsia="Times New Roman" w:hAnsi="Segoe UI" w:cs="Segoe UI"/>
          <w:color w:val="000000"/>
          <w:kern w:val="0"/>
          <w:sz w:val="21"/>
          <w:szCs w:val="21"/>
          <w:lang w:eastAsia="es-CO"/>
          <w14:ligatures w14:val="none"/>
        </w:rPr>
        <w:t> (antes </w:t>
      </w:r>
      <w:hyperlink r:id="rId32" w:tooltip="Estatuto Tributario CETA" w:history="1">
        <w:r w:rsidRPr="007416E1">
          <w:rPr>
            <w:rFonts w:ascii="Segoe UI" w:eastAsia="Times New Roman" w:hAnsi="Segoe UI" w:cs="Segoe UI"/>
            <w:color w:val="0645AD"/>
            <w:kern w:val="0"/>
            <w:sz w:val="21"/>
            <w:szCs w:val="21"/>
            <w:u w:val="single"/>
            <w:lang w:eastAsia="es-CO"/>
            <w14:ligatures w14:val="none"/>
          </w:rPr>
          <w:t>artículo 647</w:t>
        </w:r>
      </w:hyperlink>
      <w:r w:rsidRPr="007416E1">
        <w:rPr>
          <w:rFonts w:ascii="Segoe UI" w:eastAsia="Times New Roman" w:hAnsi="Segoe UI" w:cs="Segoe UI"/>
          <w:color w:val="000000"/>
          <w:kern w:val="0"/>
          <w:sz w:val="21"/>
          <w:szCs w:val="21"/>
          <w:lang w:eastAsia="es-CO"/>
          <w14:ligatures w14:val="none"/>
        </w:rPr>
        <w:t>) del Estatuto tributario. El primero de ellos no contempla una sanción autónoma sino la base para liquidar la sanción de inexactitud o de corrección en caso de rechazo o disminución de pérdidas fiscales.</w:t>
      </w:r>
    </w:p>
    <w:p w14:paraId="53ED604F"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2. El </w:t>
      </w:r>
      <w:hyperlink r:id="rId33" w:tooltip="Estatuto Tributario CETA" w:history="1">
        <w:r w:rsidRPr="007416E1">
          <w:rPr>
            <w:rFonts w:ascii="Segoe UI" w:eastAsia="Times New Roman" w:hAnsi="Segoe UI" w:cs="Segoe UI"/>
            <w:color w:val="0645AD"/>
            <w:kern w:val="0"/>
            <w:sz w:val="21"/>
            <w:szCs w:val="21"/>
            <w:u w:val="single"/>
            <w:lang w:eastAsia="es-CO"/>
            <w14:ligatures w14:val="none"/>
          </w:rPr>
          <w:t>artículo 647-1</w:t>
        </w:r>
      </w:hyperlink>
      <w:r w:rsidRPr="007416E1">
        <w:rPr>
          <w:rFonts w:ascii="Segoe UI" w:eastAsia="Times New Roman" w:hAnsi="Segoe UI" w:cs="Segoe UI"/>
          <w:color w:val="000000"/>
          <w:kern w:val="0"/>
          <w:sz w:val="21"/>
          <w:szCs w:val="21"/>
          <w:lang w:eastAsia="es-CO"/>
          <w14:ligatures w14:val="none"/>
        </w:rPr>
        <w:t> del Estatuto Tributario aplica cuando el rechazo o la disminución de pérdidas </w:t>
      </w:r>
      <w:r w:rsidRPr="007416E1">
        <w:rPr>
          <w:rFonts w:ascii="Segoe UI" w:eastAsia="Times New Roman" w:hAnsi="Segoe UI" w:cs="Segoe UI"/>
          <w:b/>
          <w:bCs/>
          <w:color w:val="000000"/>
          <w:kern w:val="0"/>
          <w:sz w:val="21"/>
          <w:szCs w:val="21"/>
          <w:lang w:eastAsia="es-CO"/>
          <w14:ligatures w14:val="none"/>
        </w:rPr>
        <w:t>no </w:t>
      </w:r>
      <w:r w:rsidRPr="007416E1">
        <w:rPr>
          <w:rFonts w:ascii="Segoe UI" w:eastAsia="Times New Roman" w:hAnsi="Segoe UI" w:cs="Segoe UI"/>
          <w:color w:val="000000"/>
          <w:kern w:val="0"/>
          <w:sz w:val="21"/>
          <w:szCs w:val="21"/>
          <w:lang w:eastAsia="es-CO"/>
          <w14:ligatures w14:val="none"/>
        </w:rPr>
        <w:t>modifican el saldo a favor o el saldo a pagar declarado.</w:t>
      </w:r>
    </w:p>
    <w:p w14:paraId="5494A00C" w14:textId="77777777" w:rsidR="007416E1" w:rsidRPr="007416E1" w:rsidRDefault="007416E1" w:rsidP="007416E1">
      <w:pPr>
        <w:spacing w:after="0" w:line="240" w:lineRule="auto"/>
        <w:ind w:left="284"/>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3. El </w:t>
      </w:r>
      <w:hyperlink r:id="rId34" w:tooltip="Estatuto Tributario CETA" w:history="1">
        <w:r w:rsidRPr="007416E1">
          <w:rPr>
            <w:rFonts w:ascii="Segoe UI" w:eastAsia="Times New Roman" w:hAnsi="Segoe UI" w:cs="Segoe UI"/>
            <w:color w:val="0645AD"/>
            <w:kern w:val="0"/>
            <w:sz w:val="21"/>
            <w:szCs w:val="21"/>
            <w:u w:val="single"/>
            <w:lang w:eastAsia="es-CO"/>
            <w14:ligatures w14:val="none"/>
          </w:rPr>
          <w:t>artículo 648</w:t>
        </w:r>
      </w:hyperlink>
      <w:r w:rsidRPr="007416E1">
        <w:rPr>
          <w:rFonts w:ascii="Segoe UI" w:eastAsia="Times New Roman" w:hAnsi="Segoe UI" w:cs="Segoe UI"/>
          <w:color w:val="000000"/>
          <w:kern w:val="0"/>
          <w:sz w:val="21"/>
          <w:szCs w:val="21"/>
          <w:lang w:eastAsia="es-CO"/>
          <w14:ligatures w14:val="none"/>
        </w:rPr>
        <w:t> del Estatuto Tributario aplica cuando el rechazo o la disminución de pérdidas </w:t>
      </w:r>
      <w:r w:rsidRPr="007416E1">
        <w:rPr>
          <w:rFonts w:ascii="Segoe UI" w:eastAsia="Times New Roman" w:hAnsi="Segoe UI" w:cs="Segoe UI"/>
          <w:b/>
          <w:bCs/>
          <w:color w:val="000000"/>
          <w:kern w:val="0"/>
          <w:sz w:val="21"/>
          <w:szCs w:val="21"/>
          <w:lang w:eastAsia="es-CO"/>
          <w14:ligatures w14:val="none"/>
        </w:rPr>
        <w:t>sí </w:t>
      </w:r>
      <w:r w:rsidRPr="007416E1">
        <w:rPr>
          <w:rFonts w:ascii="Segoe UI" w:eastAsia="Times New Roman" w:hAnsi="Segoe UI" w:cs="Segoe UI"/>
          <w:color w:val="000000"/>
          <w:kern w:val="0"/>
          <w:sz w:val="21"/>
          <w:szCs w:val="21"/>
          <w:lang w:eastAsia="es-CO"/>
          <w14:ligatures w14:val="none"/>
        </w:rPr>
        <w:t>modifican el saldo a favor o el saldo a pagar declarado.</w:t>
      </w:r>
    </w:p>
    <w:p w14:paraId="7DA10A5C" w14:textId="77777777" w:rsidR="007416E1" w:rsidRDefault="007416E1"/>
    <w:p w14:paraId="0CB4448C"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En los anteriores términos se absuelve la petición y se recuerda que la normativa, jurisprudencia y doctrina en materia tributaria, aduanera y de fiscalización cambiaria, en lo de competencia de esta Entidad, puede consultarse en el normograma DIAN: </w:t>
      </w:r>
      <w:hyperlink r:id="rId35" w:tgtFrame="_blank" w:history="1">
        <w:r w:rsidRPr="007416E1">
          <w:rPr>
            <w:rFonts w:ascii="Segoe UI" w:eastAsia="Times New Roman" w:hAnsi="Segoe UI" w:cs="Segoe UI"/>
            <w:color w:val="0645AD"/>
            <w:kern w:val="0"/>
            <w:sz w:val="21"/>
            <w:szCs w:val="21"/>
            <w:u w:val="single"/>
            <w:lang w:eastAsia="es-CO"/>
            <w14:ligatures w14:val="none"/>
          </w:rPr>
          <w:t>https://normograma.dian.gov.co/dian/</w:t>
        </w:r>
      </w:hyperlink>
      <w:r w:rsidRPr="007416E1">
        <w:rPr>
          <w:rFonts w:ascii="Segoe UI" w:eastAsia="Times New Roman" w:hAnsi="Segoe UI" w:cs="Segoe UI"/>
          <w:color w:val="000000"/>
          <w:kern w:val="0"/>
          <w:sz w:val="21"/>
          <w:szCs w:val="21"/>
          <w:lang w:eastAsia="es-CO"/>
          <w14:ligatures w14:val="none"/>
        </w:rPr>
        <w:t>.</w:t>
      </w:r>
    </w:p>
    <w:p w14:paraId="7AB6779D"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4517AA2F"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Atentamente,</w:t>
      </w:r>
    </w:p>
    <w:p w14:paraId="37E8B97F"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7621109B"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 </w:t>
      </w:r>
    </w:p>
    <w:p w14:paraId="6D86F17B"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t>GUSTAVO ALFREDO PERALTA FIGUEREDO</w:t>
      </w:r>
    </w:p>
    <w:p w14:paraId="6CEB0087"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Director</w:t>
      </w:r>
    </w:p>
    <w:p w14:paraId="0E803D32"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Dirección de Gestión Jurídica</w:t>
      </w:r>
    </w:p>
    <w:p w14:paraId="68B86E45" w14:textId="77777777" w:rsidR="007416E1" w:rsidRPr="007416E1" w:rsidRDefault="007416E1" w:rsidP="007416E1">
      <w:pPr>
        <w:spacing w:after="0" w:line="240" w:lineRule="auto"/>
        <w:jc w:val="both"/>
        <w:rPr>
          <w:rFonts w:ascii="Segoe UI" w:eastAsia="Times New Roman" w:hAnsi="Segoe UI" w:cs="Segoe UI"/>
          <w:color w:val="000000"/>
          <w:kern w:val="0"/>
          <w:sz w:val="21"/>
          <w:szCs w:val="21"/>
          <w:lang w:eastAsia="es-CO"/>
          <w14:ligatures w14:val="none"/>
        </w:rPr>
      </w:pPr>
      <w:r w:rsidRPr="007416E1">
        <w:rPr>
          <w:rFonts w:ascii="Segoe UI" w:eastAsia="Times New Roman" w:hAnsi="Segoe UI" w:cs="Segoe UI"/>
          <w:color w:val="000000"/>
          <w:kern w:val="0"/>
          <w:sz w:val="21"/>
          <w:szCs w:val="21"/>
          <w:lang w:eastAsia="es-CO"/>
          <w14:ligatures w14:val="none"/>
        </w:rPr>
        <w:t>U.A.E. Dirección de Impuestos y Aduanas Nacionales – DIAN</w:t>
      </w:r>
    </w:p>
    <w:p w14:paraId="066B355F" w14:textId="77777777" w:rsidR="007416E1" w:rsidRPr="007416E1" w:rsidRDefault="007416E1" w:rsidP="007416E1">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7416E1">
        <w:rPr>
          <w:rFonts w:ascii="Segoe UI" w:eastAsia="Times New Roman" w:hAnsi="Segoe UI" w:cs="Segoe UI"/>
          <w:b/>
          <w:bCs/>
          <w:color w:val="000000"/>
          <w:kern w:val="0"/>
          <w:sz w:val="21"/>
          <w:szCs w:val="21"/>
          <w:lang w:eastAsia="es-CO"/>
          <w14:ligatures w14:val="none"/>
        </w:rPr>
        <w:t>Notas al pie</w:t>
      </w:r>
    </w:p>
    <w:p w14:paraId="096C3EBB" w14:textId="77777777" w:rsidR="007416E1" w:rsidRDefault="007416E1"/>
    <w:p w14:paraId="1742C3C2" w14:textId="4F8FFF34" w:rsidR="007416E1" w:rsidRDefault="007416E1">
      <w:r>
        <w:t>______________________________________</w:t>
      </w:r>
    </w:p>
    <w:p w14:paraId="0EF4A835" w14:textId="77777777" w:rsidR="007416E1" w:rsidRPr="007416E1" w:rsidRDefault="007416E1" w:rsidP="007416E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6" w:anchor="cite_ref-1" w:tooltip="Volver arriba" w:history="1">
        <w:r w:rsidRPr="007416E1">
          <w:rPr>
            <w:rFonts w:ascii="Segoe UI" w:eastAsia="Times New Roman" w:hAnsi="Segoe UI" w:cs="Segoe UI"/>
            <w:color w:val="0645AD"/>
            <w:kern w:val="0"/>
            <w:sz w:val="21"/>
            <w:szCs w:val="21"/>
            <w:u w:val="single"/>
            <w:lang w:eastAsia="es-CO"/>
            <w14:ligatures w14:val="none"/>
          </w:rPr>
          <w:t>↑</w:t>
        </w:r>
      </w:hyperlink>
      <w:r w:rsidRPr="007416E1">
        <w:rPr>
          <w:rFonts w:ascii="Segoe UI" w:eastAsia="Times New Roman" w:hAnsi="Segoe UI" w:cs="Segoe UI"/>
          <w:color w:val="000000"/>
          <w:kern w:val="0"/>
          <w:sz w:val="21"/>
          <w:szCs w:val="21"/>
          <w:lang w:eastAsia="es-CO"/>
          <w14:ligatures w14:val="none"/>
        </w:rPr>
        <w:t> De conformidad con el artículo 55 del Decreto 1742 de 2020 y los artículos 7 y 7-1 de la Resolución DIAN 91 de 2021.</w:t>
      </w:r>
    </w:p>
    <w:p w14:paraId="5AE5B0ED" w14:textId="77777777" w:rsidR="007416E1" w:rsidRPr="007416E1" w:rsidRDefault="007416E1" w:rsidP="007416E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7" w:anchor="cite_ref-2" w:tooltip="Volver arriba" w:history="1">
        <w:r w:rsidRPr="007416E1">
          <w:rPr>
            <w:rFonts w:ascii="Segoe UI" w:eastAsia="Times New Roman" w:hAnsi="Segoe UI" w:cs="Segoe UI"/>
            <w:color w:val="0645AD"/>
            <w:kern w:val="0"/>
            <w:sz w:val="21"/>
            <w:szCs w:val="21"/>
            <w:u w:val="single"/>
            <w:lang w:eastAsia="es-CO"/>
            <w14:ligatures w14:val="none"/>
          </w:rPr>
          <w:t>↑</w:t>
        </w:r>
      </w:hyperlink>
      <w:r w:rsidRPr="007416E1">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4B33D351" w14:textId="77777777" w:rsidR="007416E1" w:rsidRDefault="007416E1" w:rsidP="007416E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8" w:anchor="cite_ref-3" w:tooltip="Volver arriba" w:history="1">
        <w:r w:rsidRPr="007416E1">
          <w:rPr>
            <w:rFonts w:ascii="Segoe UI" w:eastAsia="Times New Roman" w:hAnsi="Segoe UI" w:cs="Segoe UI"/>
            <w:color w:val="0645AD"/>
            <w:kern w:val="0"/>
            <w:sz w:val="21"/>
            <w:szCs w:val="21"/>
            <w:u w:val="single"/>
            <w:lang w:eastAsia="es-CO"/>
            <w14:ligatures w14:val="none"/>
          </w:rPr>
          <w:t>↑</w:t>
        </w:r>
      </w:hyperlink>
      <w:r w:rsidRPr="007416E1">
        <w:rPr>
          <w:rFonts w:ascii="Segoe UI" w:eastAsia="Times New Roman" w:hAnsi="Segoe UI" w:cs="Segoe UI"/>
          <w:color w:val="000000"/>
          <w:kern w:val="0"/>
          <w:sz w:val="21"/>
          <w:szCs w:val="21"/>
          <w:lang w:eastAsia="es-CO"/>
          <w14:ligatures w14:val="none"/>
        </w:rPr>
        <w:t> Algunas de las sentencias que se han pronunciado respecto de la aplicación de la sanción, son las siguientes: (i) 11001- 03-15-000-2020-00876-00(AC), C.P. María Adriana Marín, 19/06/2020; (</w:t>
      </w:r>
      <w:proofErr w:type="spellStart"/>
      <w:r w:rsidRPr="007416E1">
        <w:rPr>
          <w:rFonts w:ascii="Segoe UI" w:eastAsia="Times New Roman" w:hAnsi="Segoe UI" w:cs="Segoe UI"/>
          <w:color w:val="000000"/>
          <w:kern w:val="0"/>
          <w:sz w:val="21"/>
          <w:szCs w:val="21"/>
          <w:lang w:eastAsia="es-CO"/>
          <w14:ligatures w14:val="none"/>
        </w:rPr>
        <w:t>ii</w:t>
      </w:r>
      <w:proofErr w:type="spellEnd"/>
      <w:r w:rsidRPr="007416E1">
        <w:rPr>
          <w:rFonts w:ascii="Segoe UI" w:eastAsia="Times New Roman" w:hAnsi="Segoe UI" w:cs="Segoe UI"/>
          <w:color w:val="000000"/>
          <w:kern w:val="0"/>
          <w:sz w:val="21"/>
          <w:szCs w:val="21"/>
          <w:lang w:eastAsia="es-CO"/>
          <w14:ligatures w14:val="none"/>
        </w:rPr>
        <w:t>) 11001-03-15-000-2020-04254-01(AC), C.P. Carlos Enrique Moreno Rubio, 11/2/2021; (</w:t>
      </w:r>
      <w:proofErr w:type="spellStart"/>
      <w:r w:rsidRPr="007416E1">
        <w:rPr>
          <w:rFonts w:ascii="Segoe UI" w:eastAsia="Times New Roman" w:hAnsi="Segoe UI" w:cs="Segoe UI"/>
          <w:color w:val="000000"/>
          <w:kern w:val="0"/>
          <w:sz w:val="21"/>
          <w:szCs w:val="21"/>
          <w:lang w:eastAsia="es-CO"/>
          <w14:ligatures w14:val="none"/>
        </w:rPr>
        <w:t>iii</w:t>
      </w:r>
      <w:proofErr w:type="spellEnd"/>
      <w:r w:rsidRPr="007416E1">
        <w:rPr>
          <w:rFonts w:ascii="Segoe UI" w:eastAsia="Times New Roman" w:hAnsi="Segoe UI" w:cs="Segoe UI"/>
          <w:color w:val="000000"/>
          <w:kern w:val="0"/>
          <w:sz w:val="21"/>
          <w:szCs w:val="21"/>
          <w:lang w:eastAsia="es-CO"/>
          <w14:ligatures w14:val="none"/>
        </w:rPr>
        <w:t>) 11001-03-15-000-2020-04951-01(AC) C.P. Ramiro Pazos Guerrero, 21/08/2021; (</w:t>
      </w:r>
      <w:proofErr w:type="spellStart"/>
      <w:r w:rsidRPr="007416E1">
        <w:rPr>
          <w:rFonts w:ascii="Segoe UI" w:eastAsia="Times New Roman" w:hAnsi="Segoe UI" w:cs="Segoe UI"/>
          <w:color w:val="000000"/>
          <w:kern w:val="0"/>
          <w:sz w:val="21"/>
          <w:szCs w:val="21"/>
          <w:lang w:eastAsia="es-CO"/>
          <w14:ligatures w14:val="none"/>
        </w:rPr>
        <w:t>iv</w:t>
      </w:r>
      <w:proofErr w:type="spellEnd"/>
      <w:r w:rsidRPr="007416E1">
        <w:rPr>
          <w:rFonts w:ascii="Segoe UI" w:eastAsia="Times New Roman" w:hAnsi="Segoe UI" w:cs="Segoe UI"/>
          <w:color w:val="000000"/>
          <w:kern w:val="0"/>
          <w:sz w:val="21"/>
          <w:szCs w:val="21"/>
          <w:lang w:eastAsia="es-CO"/>
          <w14:ligatures w14:val="none"/>
        </w:rPr>
        <w:t xml:space="preserve">) 25000-23-37-000-2014-00376-02 (24696) C.P. Myriam Stella </w:t>
      </w:r>
      <w:proofErr w:type="spellStart"/>
      <w:r w:rsidRPr="007416E1">
        <w:rPr>
          <w:rFonts w:ascii="Segoe UI" w:eastAsia="Times New Roman" w:hAnsi="Segoe UI" w:cs="Segoe UI"/>
          <w:color w:val="000000"/>
          <w:kern w:val="0"/>
          <w:sz w:val="21"/>
          <w:szCs w:val="21"/>
          <w:lang w:eastAsia="es-CO"/>
          <w14:ligatures w14:val="none"/>
        </w:rPr>
        <w:t>Gutierrez</w:t>
      </w:r>
      <w:proofErr w:type="spellEnd"/>
      <w:r w:rsidRPr="007416E1">
        <w:rPr>
          <w:rFonts w:ascii="Segoe UI" w:eastAsia="Times New Roman" w:hAnsi="Segoe UI" w:cs="Segoe UI"/>
          <w:color w:val="000000"/>
          <w:kern w:val="0"/>
          <w:sz w:val="21"/>
          <w:szCs w:val="21"/>
          <w:lang w:eastAsia="es-CO"/>
          <w14:ligatures w14:val="none"/>
        </w:rPr>
        <w:t xml:space="preserve"> A. 17/03/2022; (v) 25000-23-37-000-2014-00947-01 (23327) C.P. Milton Chaves </w:t>
      </w:r>
      <w:proofErr w:type="spellStart"/>
      <w:r w:rsidRPr="007416E1">
        <w:rPr>
          <w:rFonts w:ascii="Segoe UI" w:eastAsia="Times New Roman" w:hAnsi="Segoe UI" w:cs="Segoe UI"/>
          <w:color w:val="000000"/>
          <w:kern w:val="0"/>
          <w:sz w:val="21"/>
          <w:szCs w:val="21"/>
          <w:lang w:eastAsia="es-CO"/>
          <w14:ligatures w14:val="none"/>
        </w:rPr>
        <w:t>Garcia</w:t>
      </w:r>
      <w:proofErr w:type="spellEnd"/>
      <w:r w:rsidRPr="007416E1">
        <w:rPr>
          <w:rFonts w:ascii="Segoe UI" w:eastAsia="Times New Roman" w:hAnsi="Segoe UI" w:cs="Segoe UI"/>
          <w:color w:val="000000"/>
          <w:kern w:val="0"/>
          <w:sz w:val="21"/>
          <w:szCs w:val="21"/>
          <w:lang w:eastAsia="es-CO"/>
          <w14:ligatures w14:val="none"/>
        </w:rPr>
        <w:t>. 17/02/2022.</w:t>
      </w:r>
    </w:p>
    <w:p w14:paraId="47D411DB" w14:textId="2B0DDD8A" w:rsidR="007416E1" w:rsidRPr="007416E1" w:rsidRDefault="007416E1" w:rsidP="007416E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9" w:anchor="cite_ref-4" w:tooltip="Volver arriba" w:history="1">
        <w:r w:rsidRPr="007416E1">
          <w:rPr>
            <w:rFonts w:ascii="Segoe UI" w:eastAsia="Times New Roman" w:hAnsi="Segoe UI" w:cs="Segoe UI"/>
            <w:color w:val="0645AD"/>
            <w:kern w:val="0"/>
            <w:sz w:val="21"/>
            <w:szCs w:val="21"/>
            <w:u w:val="single"/>
            <w:lang w:eastAsia="es-CO"/>
            <w14:ligatures w14:val="none"/>
          </w:rPr>
          <w:t>↑</w:t>
        </w:r>
      </w:hyperlink>
      <w:r w:rsidRPr="007416E1">
        <w:rPr>
          <w:rFonts w:ascii="Segoe UI" w:eastAsia="Times New Roman" w:hAnsi="Segoe UI" w:cs="Segoe UI"/>
          <w:color w:val="000000"/>
          <w:kern w:val="0"/>
          <w:sz w:val="21"/>
          <w:szCs w:val="21"/>
          <w:lang w:eastAsia="es-CO"/>
          <w14:ligatures w14:val="none"/>
        </w:rPr>
        <w:t> (…) “Conforme a lo anterior, la Sala advierte que la posición reiterada de la Sección Cuarta de esta Corporación establece que el artículo 647 del Estatuto Tributario define las conductas fiscalizables de los contribuyentes para efectos de imponer la sanción por inexactitud; mientras que el artículo 647-1 determina, no un hecho sancionable, sino la forma de liquidar la sanción tributaria en aquellos casos en que no exista una base para hacerlo.</w:t>
      </w:r>
      <w:r w:rsidRPr="007416E1">
        <w:rPr>
          <w:rFonts w:ascii="Segoe UI" w:eastAsia="Times New Roman" w:hAnsi="Segoe UI" w:cs="Segoe UI"/>
          <w:kern w:val="0"/>
          <w:sz w:val="21"/>
          <w:szCs w:val="21"/>
          <w:lang w:eastAsia="es-CO"/>
          <w14:ligatures w14:val="none"/>
        </w:rPr>
        <w:t xml:space="preserve"> </w:t>
      </w:r>
      <w:hyperlink r:id="rId40" w:anchor="cite_ref-5" w:tooltip="Volver arriba" w:history="1">
        <w:r w:rsidRPr="007416E1">
          <w:rPr>
            <w:rFonts w:ascii="Segoe UI" w:eastAsia="Times New Roman" w:hAnsi="Segoe UI" w:cs="Segoe UI"/>
            <w:color w:val="0645AD"/>
            <w:kern w:val="0"/>
            <w:sz w:val="21"/>
            <w:szCs w:val="21"/>
            <w:u w:val="single"/>
            <w:lang w:eastAsia="es-CO"/>
            <w14:ligatures w14:val="none"/>
          </w:rPr>
          <w:t>↑</w:t>
        </w:r>
      </w:hyperlink>
      <w:r w:rsidRPr="007416E1">
        <w:rPr>
          <w:rFonts w:ascii="Segoe UI" w:eastAsia="Times New Roman" w:hAnsi="Segoe UI" w:cs="Segoe UI"/>
          <w:kern w:val="0"/>
          <w:sz w:val="21"/>
          <w:szCs w:val="21"/>
          <w:lang w:eastAsia="es-CO"/>
          <w14:ligatures w14:val="none"/>
        </w:rPr>
        <w:t xml:space="preserve"> “(…) se ha considerado que, en aplicación del hecho sancionable descrito en el artículo 647-1 del ET, la disminución de las pérdidas fiscales inicialmente determinadas en la declaración modificada oficialmente o por corrección hecha por el propio obligado tributario, debe obedecer a las circunstancias señaladas en el artículo 647 del </w:t>
      </w:r>
      <w:proofErr w:type="gramStart"/>
      <w:r w:rsidRPr="007416E1">
        <w:rPr>
          <w:rFonts w:ascii="Segoe UI" w:eastAsia="Times New Roman" w:hAnsi="Segoe UI" w:cs="Segoe UI"/>
          <w:kern w:val="0"/>
          <w:sz w:val="21"/>
          <w:szCs w:val="21"/>
          <w:lang w:eastAsia="es-CO"/>
          <w14:ligatures w14:val="none"/>
        </w:rPr>
        <w:t>ET(</w:t>
      </w:r>
      <w:proofErr w:type="gramEnd"/>
      <w:r w:rsidRPr="007416E1">
        <w:rPr>
          <w:rFonts w:ascii="Segoe UI" w:eastAsia="Times New Roman" w:hAnsi="Segoe UI" w:cs="Segoe UI"/>
          <w:kern w:val="0"/>
          <w:sz w:val="21"/>
          <w:szCs w:val="21"/>
          <w:lang w:eastAsia="es-CO"/>
          <w14:ligatures w14:val="none"/>
        </w:rPr>
        <w:t>…).</w:t>
      </w:r>
      <w:hyperlink r:id="rId41" w:anchor="cite_ref-6" w:tooltip="Volver arriba" w:history="1">
        <w:r w:rsidRPr="007416E1">
          <w:rPr>
            <w:rFonts w:ascii="Segoe UI" w:eastAsia="Times New Roman" w:hAnsi="Segoe UI" w:cs="Segoe UI"/>
            <w:color w:val="0645AD"/>
            <w:kern w:val="0"/>
            <w:sz w:val="21"/>
            <w:szCs w:val="21"/>
            <w:u w:val="single"/>
            <w:lang w:eastAsia="es-CO"/>
            <w14:ligatures w14:val="none"/>
          </w:rPr>
          <w:t>↑</w:t>
        </w:r>
      </w:hyperlink>
      <w:r w:rsidRPr="007416E1">
        <w:rPr>
          <w:rFonts w:ascii="Segoe UI" w:eastAsia="Times New Roman" w:hAnsi="Segoe UI" w:cs="Segoe UI"/>
          <w:kern w:val="0"/>
          <w:sz w:val="21"/>
          <w:szCs w:val="21"/>
          <w:lang w:eastAsia="es-CO"/>
          <w14:ligatures w14:val="none"/>
        </w:rPr>
        <w:t> Renta líquida gravable o (pérdida fiscal).</w:t>
      </w:r>
    </w:p>
    <w:p w14:paraId="6A9B6493" w14:textId="2DBDDF5E" w:rsidR="007416E1" w:rsidRPr="007416E1" w:rsidRDefault="007416E1" w:rsidP="007416E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2" w:anchor="cite_ref-7" w:tooltip="Volver arriba" w:history="1">
        <w:r w:rsidRPr="007416E1">
          <w:rPr>
            <w:rFonts w:ascii="Segoe UI" w:eastAsia="Times New Roman" w:hAnsi="Segoe UI" w:cs="Segoe UI"/>
            <w:color w:val="0645AD"/>
            <w:kern w:val="0"/>
            <w:sz w:val="21"/>
            <w:szCs w:val="21"/>
            <w:u w:val="single"/>
            <w:lang w:eastAsia="es-CO"/>
            <w14:ligatures w14:val="none"/>
          </w:rPr>
          <w:t>↑</w:t>
        </w:r>
      </w:hyperlink>
      <w:r w:rsidRPr="007416E1">
        <w:rPr>
          <w:rFonts w:ascii="Segoe UI" w:eastAsia="Times New Roman" w:hAnsi="Segoe UI" w:cs="Segoe UI"/>
          <w:kern w:val="0"/>
          <w:sz w:val="21"/>
          <w:szCs w:val="21"/>
          <w:lang w:eastAsia="es-CO"/>
          <w14:ligatures w14:val="none"/>
        </w:rPr>
        <w:t> Ver: Artículo 648, Estatuto Tributario.</w:t>
      </w:r>
    </w:p>
    <w:p w14:paraId="6924667E" w14:textId="77777777" w:rsidR="007416E1" w:rsidRDefault="007416E1"/>
    <w:tbl>
      <w:tblPr>
        <w:tblW w:w="0" w:type="auto"/>
        <w:tblCellSpacing w:w="0" w:type="dxa"/>
        <w:tblCellMar>
          <w:left w:w="0" w:type="dxa"/>
          <w:right w:w="0" w:type="dxa"/>
        </w:tblCellMar>
        <w:tblLook w:val="04A0" w:firstRow="1" w:lastRow="0" w:firstColumn="1" w:lastColumn="0" w:noHBand="0" w:noVBand="1"/>
      </w:tblPr>
      <w:tblGrid>
        <w:gridCol w:w="9356"/>
      </w:tblGrid>
      <w:tr w:rsidR="007416E1" w:rsidRPr="007416E1" w14:paraId="7AE2CD42" w14:textId="77777777" w:rsidTr="007416E1">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7416E1" w:rsidRPr="007416E1" w14:paraId="1C331480" w14:textId="77777777">
              <w:trPr>
                <w:tblCellSpacing w:w="0" w:type="dxa"/>
              </w:trPr>
              <w:tc>
                <w:tcPr>
                  <w:tcW w:w="0" w:type="auto"/>
                  <w:shd w:val="clear" w:color="auto" w:fill="FFFFFF"/>
                  <w:tcMar>
                    <w:top w:w="30" w:type="dxa"/>
                    <w:left w:w="30" w:type="dxa"/>
                    <w:bottom w:w="30" w:type="dxa"/>
                    <w:right w:w="30" w:type="dxa"/>
                  </w:tcMar>
                  <w:vAlign w:val="center"/>
                  <w:hideMark/>
                </w:tcPr>
                <w:p w14:paraId="12C49FCC" w14:textId="00C6B394" w:rsidR="007416E1" w:rsidRPr="007416E1" w:rsidRDefault="007416E1" w:rsidP="007416E1">
                  <w:pPr>
                    <w:spacing w:before="100" w:beforeAutospacing="1" w:after="100" w:afterAutospacing="1" w:line="240" w:lineRule="auto"/>
                    <w:jc w:val="both"/>
                    <w:rPr>
                      <w:rFonts w:ascii="Segoe UI" w:eastAsia="Times New Roman" w:hAnsi="Segoe UI" w:cs="Segoe UI"/>
                      <w:kern w:val="0"/>
                      <w:sz w:val="21"/>
                      <w:szCs w:val="21"/>
                      <w:lang w:eastAsia="es-CO"/>
                      <w14:ligatures w14:val="none"/>
                    </w:rPr>
                  </w:pPr>
                </w:p>
              </w:tc>
            </w:tr>
          </w:tbl>
          <w:p w14:paraId="6EA63F99" w14:textId="77777777" w:rsidR="007416E1" w:rsidRPr="007416E1" w:rsidRDefault="007416E1" w:rsidP="007416E1">
            <w:pPr>
              <w:spacing w:after="0" w:line="240" w:lineRule="auto"/>
              <w:rPr>
                <w:rFonts w:eastAsia="Times New Roman" w:cs="Times New Roman"/>
                <w:kern w:val="0"/>
                <w:szCs w:val="24"/>
                <w:lang w:eastAsia="es-CO"/>
                <w14:ligatures w14:val="none"/>
              </w:rPr>
            </w:pPr>
          </w:p>
        </w:tc>
      </w:tr>
    </w:tbl>
    <w:p w14:paraId="69E966C4" w14:textId="77777777" w:rsidR="007416E1" w:rsidRPr="007416E1" w:rsidRDefault="007416E1" w:rsidP="007416E1">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7416E1" w:rsidRPr="007416E1" w14:paraId="41E08158" w14:textId="77777777" w:rsidTr="007416E1">
        <w:trPr>
          <w:trHeight w:val="444"/>
          <w:tblCellSpacing w:w="0" w:type="dxa"/>
        </w:trPr>
        <w:tc>
          <w:tcPr>
            <w:tcW w:w="120" w:type="dxa"/>
            <w:shd w:val="clear" w:color="auto" w:fill="FFFFFF"/>
            <w:hideMark/>
          </w:tcPr>
          <w:p w14:paraId="3A186EE8" w14:textId="77777777" w:rsidR="007416E1" w:rsidRPr="007416E1" w:rsidRDefault="007416E1" w:rsidP="007416E1">
            <w:pPr>
              <w:spacing w:after="0" w:line="240" w:lineRule="auto"/>
              <w:rPr>
                <w:rFonts w:ascii="Segoe UI" w:eastAsia="Times New Roman" w:hAnsi="Segoe UI" w:cs="Segoe UI"/>
                <w:color w:val="000000"/>
                <w:kern w:val="0"/>
                <w:sz w:val="27"/>
                <w:szCs w:val="27"/>
                <w:lang w:eastAsia="es-CO"/>
                <w14:ligatures w14:val="none"/>
              </w:rPr>
            </w:pPr>
            <w:r w:rsidRPr="007416E1">
              <w:rPr>
                <w:rFonts w:ascii="Segoe UI" w:eastAsia="Times New Roman" w:hAnsi="Segoe UI" w:cs="Segoe UI"/>
                <w:noProof/>
                <w:color w:val="000000"/>
                <w:kern w:val="0"/>
                <w:sz w:val="27"/>
                <w:szCs w:val="27"/>
                <w:lang w:eastAsia="es-CO"/>
                <w14:ligatures w14:val="none"/>
              </w:rPr>
              <w:drawing>
                <wp:inline distT="0" distB="0" distL="0" distR="0" wp14:anchorId="5CCEE2AF" wp14:editId="07DB4BFD">
                  <wp:extent cx="76200" cy="107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 cy="10795"/>
                          </a:xfrm>
                          <a:prstGeom prst="rect">
                            <a:avLst/>
                          </a:prstGeom>
                          <a:noFill/>
                          <a:ln>
                            <a:noFill/>
                          </a:ln>
                        </pic:spPr>
                      </pic:pic>
                    </a:graphicData>
                  </a:graphic>
                </wp:inline>
              </w:drawing>
            </w:r>
          </w:p>
          <w:p w14:paraId="56637DDE" w14:textId="77777777" w:rsidR="007416E1" w:rsidRPr="007416E1" w:rsidRDefault="007416E1" w:rsidP="007416E1">
            <w:pPr>
              <w:spacing w:after="0" w:line="240" w:lineRule="auto"/>
              <w:rPr>
                <w:rFonts w:eastAsia="Times New Roman" w:cs="Times New Roman"/>
                <w:kern w:val="0"/>
                <w:szCs w:val="24"/>
                <w:lang w:eastAsia="es-CO"/>
                <w14:ligatures w14:val="none"/>
              </w:rPr>
            </w:pPr>
            <w:r w:rsidRPr="007416E1">
              <w:rPr>
                <w:rFonts w:eastAsia="Times New Roman" w:cs="Times New Roman"/>
                <w:kern w:val="0"/>
                <w:szCs w:val="24"/>
                <w:lang w:eastAsia="es-CO"/>
                <w14:ligatures w14:val="none"/>
              </w:rPr>
              <w:lastRenderedPageBreak/>
              <w:br/>
            </w:r>
          </w:p>
        </w:tc>
      </w:tr>
    </w:tbl>
    <w:p w14:paraId="33A56E51" w14:textId="77777777" w:rsidR="007416E1" w:rsidRDefault="007416E1"/>
    <w:sectPr w:rsidR="007416E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669"/>
    <w:multiLevelType w:val="multilevel"/>
    <w:tmpl w:val="0DF6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173C2"/>
    <w:multiLevelType w:val="multilevel"/>
    <w:tmpl w:val="41327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227545">
    <w:abstractNumId w:val="1"/>
  </w:num>
  <w:num w:numId="2" w16cid:durableId="186004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E1"/>
    <w:rsid w:val="000F3837"/>
    <w:rsid w:val="001E311E"/>
    <w:rsid w:val="00434AE6"/>
    <w:rsid w:val="0055469E"/>
    <w:rsid w:val="005D25EE"/>
    <w:rsid w:val="007416E1"/>
    <w:rsid w:val="007E7607"/>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E79A"/>
  <w15:chartTrackingRefBased/>
  <w15:docId w15:val="{5B1E0CCD-964E-4278-BA68-BDAF34CB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1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1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16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16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416E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416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416E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416E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416E1"/>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16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16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16E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16E1"/>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416E1"/>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416E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416E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416E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416E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41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16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16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16E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416E1"/>
    <w:pPr>
      <w:spacing w:before="160"/>
      <w:jc w:val="center"/>
    </w:pPr>
    <w:rPr>
      <w:i/>
      <w:iCs/>
      <w:color w:val="404040" w:themeColor="text1" w:themeTint="BF"/>
    </w:rPr>
  </w:style>
  <w:style w:type="character" w:customStyle="1" w:styleId="CitaCar">
    <w:name w:val="Cita Car"/>
    <w:basedOn w:val="Fuentedeprrafopredeter"/>
    <w:link w:val="Cita"/>
    <w:uiPriority w:val="29"/>
    <w:rsid w:val="007416E1"/>
    <w:rPr>
      <w:i/>
      <w:iCs/>
      <w:color w:val="404040" w:themeColor="text1" w:themeTint="BF"/>
    </w:rPr>
  </w:style>
  <w:style w:type="paragraph" w:styleId="Prrafodelista">
    <w:name w:val="List Paragraph"/>
    <w:basedOn w:val="Normal"/>
    <w:uiPriority w:val="34"/>
    <w:qFormat/>
    <w:rsid w:val="007416E1"/>
    <w:pPr>
      <w:ind w:left="720"/>
      <w:contextualSpacing/>
    </w:pPr>
  </w:style>
  <w:style w:type="character" w:styleId="nfasisintenso">
    <w:name w:val="Intense Emphasis"/>
    <w:basedOn w:val="Fuentedeprrafopredeter"/>
    <w:uiPriority w:val="21"/>
    <w:qFormat/>
    <w:rsid w:val="007416E1"/>
    <w:rPr>
      <w:i/>
      <w:iCs/>
      <w:color w:val="0F4761" w:themeColor="accent1" w:themeShade="BF"/>
    </w:rPr>
  </w:style>
  <w:style w:type="paragraph" w:styleId="Citadestacada">
    <w:name w:val="Intense Quote"/>
    <w:basedOn w:val="Normal"/>
    <w:next w:val="Normal"/>
    <w:link w:val="CitadestacadaCar"/>
    <w:uiPriority w:val="30"/>
    <w:qFormat/>
    <w:rsid w:val="00741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16E1"/>
    <w:rPr>
      <w:i/>
      <w:iCs/>
      <w:color w:val="0F4761" w:themeColor="accent1" w:themeShade="BF"/>
    </w:rPr>
  </w:style>
  <w:style w:type="character" w:styleId="Referenciaintensa">
    <w:name w:val="Intense Reference"/>
    <w:basedOn w:val="Fuentedeprrafopredeter"/>
    <w:uiPriority w:val="32"/>
    <w:qFormat/>
    <w:rsid w:val="007416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970">
      <w:bodyDiv w:val="1"/>
      <w:marLeft w:val="0"/>
      <w:marRight w:val="0"/>
      <w:marTop w:val="0"/>
      <w:marBottom w:val="0"/>
      <w:divBdr>
        <w:top w:val="none" w:sz="0" w:space="0" w:color="auto"/>
        <w:left w:val="none" w:sz="0" w:space="0" w:color="auto"/>
        <w:bottom w:val="none" w:sz="0" w:space="0" w:color="auto"/>
        <w:right w:val="none" w:sz="0" w:space="0" w:color="auto"/>
      </w:divBdr>
    </w:div>
    <w:div w:id="703793225">
      <w:bodyDiv w:val="1"/>
      <w:marLeft w:val="0"/>
      <w:marRight w:val="0"/>
      <w:marTop w:val="0"/>
      <w:marBottom w:val="0"/>
      <w:divBdr>
        <w:top w:val="none" w:sz="0" w:space="0" w:color="auto"/>
        <w:left w:val="none" w:sz="0" w:space="0" w:color="auto"/>
        <w:bottom w:val="none" w:sz="0" w:space="0" w:color="auto"/>
        <w:right w:val="none" w:sz="0" w:space="0" w:color="auto"/>
      </w:divBdr>
    </w:div>
    <w:div w:id="828906189">
      <w:bodyDiv w:val="1"/>
      <w:marLeft w:val="0"/>
      <w:marRight w:val="0"/>
      <w:marTop w:val="0"/>
      <w:marBottom w:val="0"/>
      <w:divBdr>
        <w:top w:val="none" w:sz="0" w:space="0" w:color="auto"/>
        <w:left w:val="none" w:sz="0" w:space="0" w:color="auto"/>
        <w:bottom w:val="none" w:sz="0" w:space="0" w:color="auto"/>
        <w:right w:val="none" w:sz="0" w:space="0" w:color="auto"/>
      </w:divBdr>
    </w:div>
    <w:div w:id="190514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2021" TargetMode="External"/><Relationship Id="rId18" Type="http://schemas.openxmlformats.org/officeDocument/2006/relationships/hyperlink" Target="https://www.ceta.org.co/html/vista_de_un_documento.asp?DocumentoID=51949" TargetMode="External"/><Relationship Id="rId26" Type="http://schemas.openxmlformats.org/officeDocument/2006/relationships/hyperlink" Target="https://www.ceta.org.co/html/vista_de_un_articulo.asp?Norma=805" TargetMode="External"/><Relationship Id="rId39" Type="http://schemas.openxmlformats.org/officeDocument/2006/relationships/hyperlink" Target="https://www.ceta.org.co/html/vista_de_un_documento.asp?DocumentoID=51949" TargetMode="External"/><Relationship Id="rId21" Type="http://schemas.openxmlformats.org/officeDocument/2006/relationships/hyperlink" Target="https://www.ceta.org.co/html/vista_de_un_articulo.asp?Norma=804" TargetMode="External"/><Relationship Id="rId34" Type="http://schemas.openxmlformats.org/officeDocument/2006/relationships/hyperlink" Target="https://www.ceta.org.co/html/vista_de_un_articulo.asp?Norma=805" TargetMode="External"/><Relationship Id="rId42" Type="http://schemas.openxmlformats.org/officeDocument/2006/relationships/hyperlink" Target="https://www.ceta.org.co/html/vista_de_un_documento.asp?DocumentoID=51949" TargetMode="External"/><Relationship Id="rId7" Type="http://schemas.openxmlformats.org/officeDocument/2006/relationships/hyperlink" Target="https://www.ceta.org.co/html/vista_de_un_documento.asp?DocumentoID=51949" TargetMode="External"/><Relationship Id="rId2" Type="http://schemas.openxmlformats.org/officeDocument/2006/relationships/styles" Target="styles.xml"/><Relationship Id="rId16" Type="http://schemas.openxmlformats.org/officeDocument/2006/relationships/hyperlink" Target="https://www.ceta.org.co/html/vista_de_un_articulo.asp?Norma=805" TargetMode="External"/><Relationship Id="rId29" Type="http://schemas.openxmlformats.org/officeDocument/2006/relationships/hyperlink" Target="https://www.ceta.org.co/html/vista_de_un_documento.asp?DocumentoID=51949" TargetMode="External"/><Relationship Id="rId1" Type="http://schemas.openxmlformats.org/officeDocument/2006/relationships/numbering" Target="numbering.xml"/><Relationship Id="rId6" Type="http://schemas.openxmlformats.org/officeDocument/2006/relationships/hyperlink" Target="https://www.ceta.org.co/html/vista_de_un_articulo.asp?Norma=805" TargetMode="External"/><Relationship Id="rId11" Type="http://schemas.openxmlformats.org/officeDocument/2006/relationships/hyperlink" Target="https://www.ceta.org.co/html/vista_de_un_articulo.asp?Norma=12021" TargetMode="External"/><Relationship Id="rId24" Type="http://schemas.openxmlformats.org/officeDocument/2006/relationships/hyperlink" Target="https://www.ceta.org.co/html/vista_de_un_documento.asp?DocumentoID=51949" TargetMode="External"/><Relationship Id="rId32" Type="http://schemas.openxmlformats.org/officeDocument/2006/relationships/hyperlink" Target="https://www.ceta.org.co/html/vista_de_un_articulo.asp?Norma=804" TargetMode="External"/><Relationship Id="rId37" Type="http://schemas.openxmlformats.org/officeDocument/2006/relationships/hyperlink" Target="https://www.ceta.org.co/html/vista_de_un_documento.asp?DocumentoID=51949" TargetMode="External"/><Relationship Id="rId40" Type="http://schemas.openxmlformats.org/officeDocument/2006/relationships/hyperlink" Target="https://www.ceta.org.co/html/vista_de_un_documento.asp?DocumentoID=51949" TargetMode="External"/><Relationship Id="rId45" Type="http://schemas.openxmlformats.org/officeDocument/2006/relationships/theme" Target="theme/theme1.xml"/><Relationship Id="rId5" Type="http://schemas.openxmlformats.org/officeDocument/2006/relationships/hyperlink" Target="https://www.ceta.org.co/html/vista_de_un_articulo.asp?Norma=12021" TargetMode="External"/><Relationship Id="rId15" Type="http://schemas.openxmlformats.org/officeDocument/2006/relationships/hyperlink" Target="https://www.ceta.org.co/html/vista_de_un_articulo.asp?Norma=12021" TargetMode="External"/><Relationship Id="rId23" Type="http://schemas.openxmlformats.org/officeDocument/2006/relationships/hyperlink" Target="https://www.ceta.org.co/html/vista_de_un_documento.asp?DocumentoID=51949" TargetMode="External"/><Relationship Id="rId28" Type="http://schemas.openxmlformats.org/officeDocument/2006/relationships/hyperlink" Target="https://www.ceta.org.co/html/vista_de_un_articulo.asp?Norma=12021" TargetMode="External"/><Relationship Id="rId36" Type="http://schemas.openxmlformats.org/officeDocument/2006/relationships/hyperlink" Target="https://www.ceta.org.co/html/vista_de_un_documento.asp?DocumentoID=51949" TargetMode="External"/><Relationship Id="rId10" Type="http://schemas.openxmlformats.org/officeDocument/2006/relationships/hyperlink" Target="https://www.ceta.org.co/html/vista_de_un_articulo.asp?Norma=805" TargetMode="External"/><Relationship Id="rId19" Type="http://schemas.openxmlformats.org/officeDocument/2006/relationships/hyperlink" Target="https://www.ceta.org.co/html/vista_de_un_articulo.asp?Norma=12021" TargetMode="External"/><Relationship Id="rId31" Type="http://schemas.openxmlformats.org/officeDocument/2006/relationships/hyperlink" Target="https://www.ceta.org.co/html/vista_de_un_articulo.asp?Norma=80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12021" TargetMode="External"/><Relationship Id="rId14" Type="http://schemas.openxmlformats.org/officeDocument/2006/relationships/hyperlink" Target="https://www.ceta.org.co/html/vista_de_un_articulo.asp?Norma=805" TargetMode="External"/><Relationship Id="rId22" Type="http://schemas.openxmlformats.org/officeDocument/2006/relationships/hyperlink" Target="https://www.ceta.org.co/html/vista_de_un_documento.asp?DocumentoID=51949" TargetMode="External"/><Relationship Id="rId27" Type="http://schemas.openxmlformats.org/officeDocument/2006/relationships/hyperlink" Target="https://www.ceta.org.co/html/vista_de_un_articulo.asp?Norma=805" TargetMode="External"/><Relationship Id="rId30" Type="http://schemas.openxmlformats.org/officeDocument/2006/relationships/hyperlink" Target="https://www.ceta.org.co/html/vista_de_un_articulo.asp?Norma=12021" TargetMode="External"/><Relationship Id="rId35" Type="http://schemas.openxmlformats.org/officeDocument/2006/relationships/hyperlink" Target="https://normograma.dian.gov.co/dian/" TargetMode="External"/><Relationship Id="rId43" Type="http://schemas.openxmlformats.org/officeDocument/2006/relationships/image" Target="media/image1.gif"/><Relationship Id="rId8" Type="http://schemas.openxmlformats.org/officeDocument/2006/relationships/hyperlink" Target="https://www.ceta.org.co/html/vista_de_un_documento.asp?DocumentoID=51949" TargetMode="External"/><Relationship Id="rId3" Type="http://schemas.openxmlformats.org/officeDocument/2006/relationships/settings" Target="settings.xml"/><Relationship Id="rId12" Type="http://schemas.openxmlformats.org/officeDocument/2006/relationships/hyperlink" Target="https://www.ceta.org.co/html/vista_de_un_articulo.asp?Norma=805" TargetMode="External"/><Relationship Id="rId17" Type="http://schemas.openxmlformats.org/officeDocument/2006/relationships/hyperlink" Target="https://www.ceta.org.co/html/vista_de_un_articulo.asp?Norma=804" TargetMode="External"/><Relationship Id="rId25" Type="http://schemas.openxmlformats.org/officeDocument/2006/relationships/hyperlink" Target="https://www.ceta.org.co/html/vista_de_un_articulo.asp?Norma=12021" TargetMode="External"/><Relationship Id="rId33" Type="http://schemas.openxmlformats.org/officeDocument/2006/relationships/hyperlink" Target="https://www.ceta.org.co/html/vista_de_un_articulo.asp?Norma=12021" TargetMode="External"/><Relationship Id="rId38" Type="http://schemas.openxmlformats.org/officeDocument/2006/relationships/hyperlink" Target="https://www.ceta.org.co/html/vista_de_un_documento.asp?DocumentoID=51949" TargetMode="External"/><Relationship Id="rId20" Type="http://schemas.openxmlformats.org/officeDocument/2006/relationships/hyperlink" Target="https://www.ceta.org.co/html/vista_de_un_articulo.asp?Norma=804" TargetMode="External"/><Relationship Id="rId41" Type="http://schemas.openxmlformats.org/officeDocument/2006/relationships/hyperlink" Target="https://www.ceta.org.co/html/vista_de_un_documento.asp?DocumentoID=519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1971</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2024-08-01T21:46:00Z</dcterms:created>
  <dcterms:modified xsi:type="dcterms:W3CDTF">2024-08-01T21:58:00Z</dcterms:modified>
</cp:coreProperties>
</file>