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5B94D" w14:textId="77777777" w:rsidR="005319E3" w:rsidRPr="005319E3" w:rsidRDefault="005319E3" w:rsidP="005319E3">
      <w:pPr>
        <w:spacing w:after="0" w:line="240" w:lineRule="auto"/>
        <w:jc w:val="center"/>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b/>
          <w:bCs/>
          <w:color w:val="000000"/>
          <w:kern w:val="0"/>
          <w:sz w:val="21"/>
          <w:szCs w:val="21"/>
          <w:lang w:eastAsia="es-CO"/>
          <w14:ligatures w14:val="none"/>
        </w:rPr>
        <w:t xml:space="preserve">Concepto </w:t>
      </w:r>
      <w:proofErr w:type="spellStart"/>
      <w:r w:rsidRPr="005319E3">
        <w:rPr>
          <w:rFonts w:ascii="Segoe UI" w:eastAsia="Times New Roman" w:hAnsi="Segoe UI" w:cs="Segoe UI"/>
          <w:b/>
          <w:bCs/>
          <w:color w:val="000000"/>
          <w:kern w:val="0"/>
          <w:sz w:val="21"/>
          <w:szCs w:val="21"/>
          <w:lang w:eastAsia="es-CO"/>
          <w14:ligatures w14:val="none"/>
        </w:rPr>
        <w:t>Nº</w:t>
      </w:r>
      <w:proofErr w:type="spellEnd"/>
      <w:r w:rsidRPr="005319E3">
        <w:rPr>
          <w:rFonts w:ascii="Segoe UI" w:eastAsia="Times New Roman" w:hAnsi="Segoe UI" w:cs="Segoe UI"/>
          <w:b/>
          <w:bCs/>
          <w:color w:val="000000"/>
          <w:kern w:val="0"/>
          <w:sz w:val="21"/>
          <w:szCs w:val="21"/>
          <w:lang w:eastAsia="es-CO"/>
          <w14:ligatures w14:val="none"/>
        </w:rPr>
        <w:t xml:space="preserve"> 0893 [009741]</w:t>
      </w:r>
    </w:p>
    <w:p w14:paraId="24B2A435" w14:textId="77777777" w:rsidR="005319E3" w:rsidRPr="005319E3" w:rsidRDefault="005319E3" w:rsidP="005319E3">
      <w:pPr>
        <w:spacing w:after="0" w:line="240" w:lineRule="auto"/>
        <w:jc w:val="center"/>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b/>
          <w:bCs/>
          <w:color w:val="000000"/>
          <w:kern w:val="0"/>
          <w:sz w:val="21"/>
          <w:szCs w:val="21"/>
          <w:lang w:eastAsia="es-CO"/>
          <w14:ligatures w14:val="none"/>
        </w:rPr>
        <w:t>17-05-2024</w:t>
      </w:r>
    </w:p>
    <w:p w14:paraId="74523894" w14:textId="77777777" w:rsidR="005319E3" w:rsidRPr="005319E3" w:rsidRDefault="005319E3" w:rsidP="005319E3">
      <w:pPr>
        <w:spacing w:after="0" w:line="240" w:lineRule="auto"/>
        <w:jc w:val="center"/>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b/>
          <w:bCs/>
          <w:color w:val="000000"/>
          <w:kern w:val="0"/>
          <w:sz w:val="21"/>
          <w:szCs w:val="21"/>
          <w:lang w:eastAsia="es-CO"/>
          <w14:ligatures w14:val="none"/>
        </w:rPr>
        <w:t>DIAN</w:t>
      </w:r>
    </w:p>
    <w:p w14:paraId="11516FDE"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7C3D52EA"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57A2CED9"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100202208-0893</w:t>
      </w:r>
    </w:p>
    <w:p w14:paraId="1BE62DC8"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6877080D"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Bogotá, D.C.</w:t>
      </w:r>
    </w:p>
    <w:p w14:paraId="397CD5FB"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36"/>
        <w:gridCol w:w="5275"/>
      </w:tblGrid>
      <w:tr w:rsidR="005319E3" w:rsidRPr="005319E3" w14:paraId="3450FCD9" w14:textId="77777777" w:rsidTr="005319E3">
        <w:tc>
          <w:tcPr>
            <w:tcW w:w="2236" w:type="dxa"/>
            <w:tcBorders>
              <w:top w:val="nil"/>
              <w:left w:val="nil"/>
              <w:bottom w:val="nil"/>
              <w:right w:val="nil"/>
            </w:tcBorders>
            <w:tcMar>
              <w:top w:w="0" w:type="dxa"/>
              <w:left w:w="105" w:type="dxa"/>
              <w:bottom w:w="0" w:type="dxa"/>
              <w:right w:w="105" w:type="dxa"/>
            </w:tcMar>
            <w:hideMark/>
          </w:tcPr>
          <w:p w14:paraId="0529D04F" w14:textId="77777777" w:rsidR="005319E3" w:rsidRPr="005319E3" w:rsidRDefault="005319E3" w:rsidP="005319E3">
            <w:pPr>
              <w:spacing w:after="0" w:line="240" w:lineRule="auto"/>
              <w:jc w:val="both"/>
              <w:rPr>
                <w:rFonts w:ascii="Segoe UI" w:eastAsia="Times New Roman" w:hAnsi="Segoe UI" w:cs="Segoe UI"/>
                <w:kern w:val="0"/>
                <w:sz w:val="21"/>
                <w:szCs w:val="21"/>
                <w:lang w:eastAsia="es-CO"/>
                <w14:ligatures w14:val="none"/>
              </w:rPr>
            </w:pPr>
            <w:r w:rsidRPr="005319E3">
              <w:rPr>
                <w:rFonts w:ascii="Segoe UI" w:eastAsia="Times New Roman" w:hAnsi="Segoe UI" w:cs="Segoe UI"/>
                <w:b/>
                <w:bCs/>
                <w:kern w:val="0"/>
                <w:sz w:val="21"/>
                <w:szCs w:val="21"/>
                <w:lang w:eastAsia="es-CO"/>
                <w14:ligatures w14:val="none"/>
              </w:rPr>
              <w:t>Tema:</w:t>
            </w:r>
          </w:p>
        </w:tc>
        <w:tc>
          <w:tcPr>
            <w:tcW w:w="5275" w:type="dxa"/>
            <w:tcBorders>
              <w:top w:val="nil"/>
              <w:left w:val="nil"/>
              <w:bottom w:val="nil"/>
              <w:right w:val="nil"/>
            </w:tcBorders>
            <w:tcMar>
              <w:top w:w="0" w:type="dxa"/>
              <w:left w:w="105" w:type="dxa"/>
              <w:bottom w:w="0" w:type="dxa"/>
              <w:right w:w="105" w:type="dxa"/>
            </w:tcMar>
            <w:hideMark/>
          </w:tcPr>
          <w:p w14:paraId="30291D2C" w14:textId="77777777" w:rsidR="005319E3" w:rsidRPr="005319E3" w:rsidRDefault="005319E3" w:rsidP="005319E3">
            <w:pPr>
              <w:spacing w:after="0" w:line="240" w:lineRule="auto"/>
              <w:jc w:val="both"/>
              <w:rPr>
                <w:rFonts w:ascii="Segoe UI" w:eastAsia="Times New Roman" w:hAnsi="Segoe UI" w:cs="Segoe UI"/>
                <w:kern w:val="0"/>
                <w:sz w:val="21"/>
                <w:szCs w:val="21"/>
                <w:lang w:eastAsia="es-CO"/>
                <w14:ligatures w14:val="none"/>
              </w:rPr>
            </w:pPr>
            <w:r w:rsidRPr="005319E3">
              <w:rPr>
                <w:rFonts w:ascii="Segoe UI" w:eastAsia="Times New Roman" w:hAnsi="Segoe UI" w:cs="Segoe UI"/>
                <w:kern w:val="0"/>
                <w:sz w:val="21"/>
                <w:szCs w:val="21"/>
                <w:lang w:eastAsia="es-CO"/>
                <w14:ligatures w14:val="none"/>
              </w:rPr>
              <w:t>Régimen Simple de Tributación - SIMPLE</w:t>
            </w:r>
          </w:p>
        </w:tc>
      </w:tr>
      <w:tr w:rsidR="005319E3" w:rsidRPr="005319E3" w14:paraId="2A32B0ED" w14:textId="77777777" w:rsidTr="005319E3">
        <w:tc>
          <w:tcPr>
            <w:tcW w:w="2236" w:type="dxa"/>
            <w:tcBorders>
              <w:top w:val="nil"/>
              <w:left w:val="nil"/>
              <w:bottom w:val="nil"/>
              <w:right w:val="nil"/>
            </w:tcBorders>
            <w:tcMar>
              <w:top w:w="0" w:type="dxa"/>
              <w:left w:w="105" w:type="dxa"/>
              <w:bottom w:w="0" w:type="dxa"/>
              <w:right w:w="105" w:type="dxa"/>
            </w:tcMar>
            <w:hideMark/>
          </w:tcPr>
          <w:p w14:paraId="2200DED6" w14:textId="77777777" w:rsidR="005319E3" w:rsidRPr="005319E3" w:rsidRDefault="005319E3" w:rsidP="005319E3">
            <w:pPr>
              <w:spacing w:after="0" w:line="240" w:lineRule="auto"/>
              <w:jc w:val="both"/>
              <w:rPr>
                <w:rFonts w:ascii="Segoe UI" w:eastAsia="Times New Roman" w:hAnsi="Segoe UI" w:cs="Segoe UI"/>
                <w:kern w:val="0"/>
                <w:sz w:val="21"/>
                <w:szCs w:val="21"/>
                <w:lang w:eastAsia="es-CO"/>
                <w14:ligatures w14:val="none"/>
              </w:rPr>
            </w:pPr>
            <w:r w:rsidRPr="005319E3">
              <w:rPr>
                <w:rFonts w:ascii="Segoe UI" w:eastAsia="Times New Roman" w:hAnsi="Segoe UI" w:cs="Segoe UI"/>
                <w:b/>
                <w:bCs/>
                <w:kern w:val="0"/>
                <w:sz w:val="21"/>
                <w:szCs w:val="21"/>
                <w:lang w:eastAsia="es-CO"/>
                <w14:ligatures w14:val="none"/>
              </w:rPr>
              <w:t>Descriptores:</w:t>
            </w:r>
          </w:p>
        </w:tc>
        <w:tc>
          <w:tcPr>
            <w:tcW w:w="5275" w:type="dxa"/>
            <w:tcBorders>
              <w:top w:val="nil"/>
              <w:left w:val="nil"/>
              <w:bottom w:val="nil"/>
              <w:right w:val="nil"/>
            </w:tcBorders>
            <w:tcMar>
              <w:top w:w="0" w:type="dxa"/>
              <w:left w:w="105" w:type="dxa"/>
              <w:bottom w:w="0" w:type="dxa"/>
              <w:right w:w="105" w:type="dxa"/>
            </w:tcMar>
            <w:hideMark/>
          </w:tcPr>
          <w:p w14:paraId="16716E98" w14:textId="77777777" w:rsidR="005319E3" w:rsidRPr="005319E3" w:rsidRDefault="005319E3" w:rsidP="005319E3">
            <w:pPr>
              <w:spacing w:after="0" w:line="240" w:lineRule="auto"/>
              <w:jc w:val="both"/>
              <w:rPr>
                <w:rFonts w:ascii="Segoe UI" w:eastAsia="Times New Roman" w:hAnsi="Segoe UI" w:cs="Segoe UI"/>
                <w:kern w:val="0"/>
                <w:sz w:val="21"/>
                <w:szCs w:val="21"/>
                <w:lang w:eastAsia="es-CO"/>
                <w14:ligatures w14:val="none"/>
              </w:rPr>
            </w:pPr>
            <w:r w:rsidRPr="005319E3">
              <w:rPr>
                <w:rFonts w:ascii="Segoe UI" w:eastAsia="Times New Roman" w:hAnsi="Segoe UI" w:cs="Segoe UI"/>
                <w:kern w:val="0"/>
                <w:sz w:val="21"/>
                <w:szCs w:val="21"/>
                <w:lang w:eastAsia="es-CO"/>
                <w14:ligatures w14:val="none"/>
              </w:rPr>
              <w:t>Tarifa</w:t>
            </w:r>
          </w:p>
          <w:p w14:paraId="18AC6F33" w14:textId="77777777" w:rsidR="005319E3" w:rsidRPr="005319E3" w:rsidRDefault="005319E3" w:rsidP="005319E3">
            <w:pPr>
              <w:spacing w:after="0" w:line="240" w:lineRule="auto"/>
              <w:jc w:val="both"/>
              <w:rPr>
                <w:rFonts w:ascii="Segoe UI" w:eastAsia="Times New Roman" w:hAnsi="Segoe UI" w:cs="Segoe UI"/>
                <w:kern w:val="0"/>
                <w:sz w:val="21"/>
                <w:szCs w:val="21"/>
                <w:lang w:eastAsia="es-CO"/>
                <w14:ligatures w14:val="none"/>
              </w:rPr>
            </w:pPr>
            <w:r w:rsidRPr="005319E3">
              <w:rPr>
                <w:rFonts w:ascii="Segoe UI" w:eastAsia="Times New Roman" w:hAnsi="Segoe UI" w:cs="Segoe UI"/>
                <w:kern w:val="0"/>
                <w:sz w:val="21"/>
                <w:szCs w:val="21"/>
                <w:lang w:eastAsia="es-CO"/>
                <w14:ligatures w14:val="none"/>
              </w:rPr>
              <w:t>Declaración y pago</w:t>
            </w:r>
          </w:p>
        </w:tc>
      </w:tr>
      <w:tr w:rsidR="005319E3" w:rsidRPr="005319E3" w14:paraId="7AC1C7AA" w14:textId="77777777" w:rsidTr="005319E3">
        <w:tc>
          <w:tcPr>
            <w:tcW w:w="2236" w:type="dxa"/>
            <w:tcBorders>
              <w:top w:val="nil"/>
              <w:left w:val="nil"/>
              <w:bottom w:val="nil"/>
              <w:right w:val="nil"/>
            </w:tcBorders>
            <w:tcMar>
              <w:top w:w="0" w:type="dxa"/>
              <w:left w:w="105" w:type="dxa"/>
              <w:bottom w:w="0" w:type="dxa"/>
              <w:right w:w="105" w:type="dxa"/>
            </w:tcMar>
            <w:hideMark/>
          </w:tcPr>
          <w:p w14:paraId="75BA2CD1" w14:textId="77777777" w:rsidR="005319E3" w:rsidRPr="005319E3" w:rsidRDefault="005319E3" w:rsidP="005319E3">
            <w:pPr>
              <w:spacing w:after="0" w:line="240" w:lineRule="auto"/>
              <w:jc w:val="both"/>
              <w:rPr>
                <w:rFonts w:ascii="Segoe UI" w:eastAsia="Times New Roman" w:hAnsi="Segoe UI" w:cs="Segoe UI"/>
                <w:kern w:val="0"/>
                <w:sz w:val="21"/>
                <w:szCs w:val="21"/>
                <w:lang w:eastAsia="es-CO"/>
                <w14:ligatures w14:val="none"/>
              </w:rPr>
            </w:pPr>
            <w:r w:rsidRPr="005319E3">
              <w:rPr>
                <w:rFonts w:ascii="Segoe UI" w:eastAsia="Times New Roman" w:hAnsi="Segoe UI" w:cs="Segoe UI"/>
                <w:b/>
                <w:bCs/>
                <w:kern w:val="0"/>
                <w:sz w:val="21"/>
                <w:szCs w:val="21"/>
                <w:lang w:eastAsia="es-CO"/>
                <w14:ligatures w14:val="none"/>
              </w:rPr>
              <w:t>Fuentes formales:</w:t>
            </w:r>
          </w:p>
        </w:tc>
        <w:tc>
          <w:tcPr>
            <w:tcW w:w="5275" w:type="dxa"/>
            <w:tcBorders>
              <w:top w:val="nil"/>
              <w:left w:val="nil"/>
              <w:bottom w:val="nil"/>
              <w:right w:val="nil"/>
            </w:tcBorders>
            <w:tcMar>
              <w:top w:w="0" w:type="dxa"/>
              <w:left w:w="105" w:type="dxa"/>
              <w:bottom w:w="0" w:type="dxa"/>
              <w:right w:w="105" w:type="dxa"/>
            </w:tcMar>
            <w:hideMark/>
          </w:tcPr>
          <w:p w14:paraId="02563B07" w14:textId="77777777" w:rsidR="005319E3" w:rsidRPr="005319E3" w:rsidRDefault="005319E3" w:rsidP="005319E3">
            <w:pPr>
              <w:spacing w:after="0" w:line="240" w:lineRule="auto"/>
              <w:jc w:val="both"/>
              <w:rPr>
                <w:rFonts w:ascii="Segoe UI" w:eastAsia="Times New Roman" w:hAnsi="Segoe UI" w:cs="Segoe UI"/>
                <w:kern w:val="0"/>
                <w:sz w:val="21"/>
                <w:szCs w:val="21"/>
                <w:lang w:eastAsia="es-CO"/>
                <w14:ligatures w14:val="none"/>
              </w:rPr>
            </w:pPr>
            <w:r w:rsidRPr="005319E3">
              <w:rPr>
                <w:rFonts w:ascii="Segoe UI" w:eastAsia="Times New Roman" w:hAnsi="Segoe UI" w:cs="Segoe UI"/>
                <w:kern w:val="0"/>
                <w:sz w:val="21"/>
                <w:szCs w:val="21"/>
                <w:lang w:eastAsia="es-CO"/>
                <w14:ligatures w14:val="none"/>
              </w:rPr>
              <w:t>Artículos </w:t>
            </w:r>
            <w:hyperlink r:id="rId5" w:tooltip="Estatuto Tributario CETA" w:history="1">
              <w:r w:rsidRPr="005319E3">
                <w:rPr>
                  <w:rFonts w:ascii="Segoe UI" w:eastAsia="Times New Roman" w:hAnsi="Segoe UI" w:cs="Segoe UI"/>
                  <w:color w:val="0645AD"/>
                  <w:kern w:val="0"/>
                  <w:sz w:val="21"/>
                  <w:szCs w:val="21"/>
                  <w:u w:val="single"/>
                  <w:lang w:eastAsia="es-CO"/>
                  <w14:ligatures w14:val="none"/>
                </w:rPr>
                <w:t>905</w:t>
              </w:r>
            </w:hyperlink>
            <w:r w:rsidRPr="005319E3">
              <w:rPr>
                <w:rFonts w:ascii="Segoe UI" w:eastAsia="Times New Roman" w:hAnsi="Segoe UI" w:cs="Segoe UI"/>
                <w:kern w:val="0"/>
                <w:sz w:val="21"/>
                <w:szCs w:val="21"/>
                <w:lang w:eastAsia="es-CO"/>
                <w14:ligatures w14:val="none"/>
              </w:rPr>
              <w:t>, </w:t>
            </w:r>
            <w:hyperlink r:id="rId6" w:tooltip="Estatuto Tributario CETA" w:history="1">
              <w:r w:rsidRPr="005319E3">
                <w:rPr>
                  <w:rFonts w:ascii="Segoe UI" w:eastAsia="Times New Roman" w:hAnsi="Segoe UI" w:cs="Segoe UI"/>
                  <w:color w:val="0645AD"/>
                  <w:kern w:val="0"/>
                  <w:sz w:val="21"/>
                  <w:szCs w:val="21"/>
                  <w:u w:val="single"/>
                  <w:lang w:eastAsia="es-CO"/>
                  <w14:ligatures w14:val="none"/>
                </w:rPr>
                <w:t>908</w:t>
              </w:r>
            </w:hyperlink>
            <w:r w:rsidRPr="005319E3">
              <w:rPr>
                <w:rFonts w:ascii="Segoe UI" w:eastAsia="Times New Roman" w:hAnsi="Segoe UI" w:cs="Segoe UI"/>
                <w:kern w:val="0"/>
                <w:sz w:val="21"/>
                <w:szCs w:val="21"/>
                <w:lang w:eastAsia="es-CO"/>
                <w14:ligatures w14:val="none"/>
              </w:rPr>
              <w:t> y </w:t>
            </w:r>
            <w:hyperlink r:id="rId7" w:tooltip="Estatuto Tributario CETA" w:history="1">
              <w:r w:rsidRPr="005319E3">
                <w:rPr>
                  <w:rFonts w:ascii="Segoe UI" w:eastAsia="Times New Roman" w:hAnsi="Segoe UI" w:cs="Segoe UI"/>
                  <w:color w:val="0645AD"/>
                  <w:kern w:val="0"/>
                  <w:sz w:val="21"/>
                  <w:szCs w:val="21"/>
                  <w:u w:val="single"/>
                  <w:lang w:eastAsia="es-CO"/>
                  <w14:ligatures w14:val="none"/>
                </w:rPr>
                <w:t>910</w:t>
              </w:r>
            </w:hyperlink>
            <w:r w:rsidRPr="005319E3">
              <w:rPr>
                <w:rFonts w:ascii="Segoe UI" w:eastAsia="Times New Roman" w:hAnsi="Segoe UI" w:cs="Segoe UI"/>
                <w:kern w:val="0"/>
                <w:sz w:val="21"/>
                <w:szCs w:val="21"/>
                <w:lang w:eastAsia="es-CO"/>
                <w14:ligatures w14:val="none"/>
              </w:rPr>
              <w:t> del Estatuto Tributario.</w:t>
            </w:r>
          </w:p>
          <w:p w14:paraId="41231AA3" w14:textId="77777777" w:rsidR="005319E3" w:rsidRPr="005319E3" w:rsidRDefault="005319E3" w:rsidP="005319E3">
            <w:pPr>
              <w:spacing w:after="0" w:line="240" w:lineRule="auto"/>
              <w:jc w:val="both"/>
              <w:rPr>
                <w:rFonts w:ascii="Segoe UI" w:eastAsia="Times New Roman" w:hAnsi="Segoe UI" w:cs="Segoe UI"/>
                <w:kern w:val="0"/>
                <w:sz w:val="21"/>
                <w:szCs w:val="21"/>
                <w:lang w:eastAsia="es-CO"/>
                <w14:ligatures w14:val="none"/>
              </w:rPr>
            </w:pPr>
            <w:r w:rsidRPr="005319E3">
              <w:rPr>
                <w:rFonts w:ascii="Segoe UI" w:eastAsia="Times New Roman" w:hAnsi="Segoe UI" w:cs="Segoe UI"/>
                <w:kern w:val="0"/>
                <w:sz w:val="21"/>
                <w:szCs w:val="21"/>
                <w:lang w:eastAsia="es-CO"/>
                <w14:ligatures w14:val="none"/>
              </w:rPr>
              <w:t>Sentencia C-540 de 2023.</w:t>
            </w:r>
          </w:p>
        </w:tc>
      </w:tr>
    </w:tbl>
    <w:p w14:paraId="7715BD8A"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18154FD8"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04A4DCED"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Cordial saludo.</w:t>
      </w:r>
    </w:p>
    <w:p w14:paraId="43BC2034"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232C35E5"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Este Despacho es competente para resolver las solicitudes de reconsideración de conceptos emitidos por la Subdirección de Normativa y Doctrina, según lo estipulado en el numeral 20 del artículo 55 del Decreto 1742 de 2020.</w:t>
      </w:r>
    </w:p>
    <w:p w14:paraId="721C6536"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4663AC59"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A través del radicado de la referencia, se ha solicitado la reconsideración del punto 2 «TARIFA» del Oficio 004637 interno 154 del 5 de marzo de 2024</w:t>
      </w:r>
      <w:hyperlink r:id="rId8" w:anchor="cite_note-1" w:history="1">
        <w:r w:rsidRPr="005319E3">
          <w:rPr>
            <w:rFonts w:ascii="Segoe UI" w:eastAsia="Times New Roman" w:hAnsi="Segoe UI" w:cs="Segoe UI"/>
            <w:color w:val="0645AD"/>
            <w:kern w:val="0"/>
            <w:sz w:val="21"/>
            <w:szCs w:val="21"/>
            <w:u w:val="single"/>
            <w:vertAlign w:val="superscript"/>
            <w:lang w:eastAsia="es-CO"/>
            <w14:ligatures w14:val="none"/>
          </w:rPr>
          <w:t>1</w:t>
        </w:r>
      </w:hyperlink>
      <w:r w:rsidRPr="005319E3">
        <w:rPr>
          <w:rFonts w:ascii="Segoe UI" w:eastAsia="Times New Roman" w:hAnsi="Segoe UI" w:cs="Segoe UI"/>
          <w:color w:val="000000"/>
          <w:kern w:val="0"/>
          <w:sz w:val="21"/>
          <w:szCs w:val="21"/>
          <w:lang w:eastAsia="es-CO"/>
          <w14:ligatures w14:val="none"/>
        </w:rPr>
        <w:t>, el cual introdujo una cuarta adición al Concepto General sobre el Régimen Simple de Tributación – SIMPLE, en relación con la Ley 2277 de 2022</w:t>
      </w:r>
      <w:hyperlink r:id="rId9" w:anchor="cite_note-2" w:history="1">
        <w:r w:rsidRPr="005319E3">
          <w:rPr>
            <w:rFonts w:ascii="Segoe UI" w:eastAsia="Times New Roman" w:hAnsi="Segoe UI" w:cs="Segoe UI"/>
            <w:color w:val="0645AD"/>
            <w:kern w:val="0"/>
            <w:sz w:val="21"/>
            <w:szCs w:val="21"/>
            <w:u w:val="single"/>
            <w:vertAlign w:val="superscript"/>
            <w:lang w:eastAsia="es-CO"/>
            <w14:ligatures w14:val="none"/>
          </w:rPr>
          <w:t>2</w:t>
        </w:r>
      </w:hyperlink>
      <w:r w:rsidRPr="005319E3">
        <w:rPr>
          <w:rFonts w:ascii="Segoe UI" w:eastAsia="Times New Roman" w:hAnsi="Segoe UI" w:cs="Segoe UI"/>
          <w:color w:val="000000"/>
          <w:kern w:val="0"/>
          <w:sz w:val="21"/>
          <w:szCs w:val="21"/>
          <w:lang w:eastAsia="es-CO"/>
          <w14:ligatures w14:val="none"/>
        </w:rPr>
        <w:t xml:space="preserve">. Lo anterior, en el contexto de la declaratoria de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xml:space="preserve"> por parte de la Corte Constitucional de los artículos 42 y 44 de la Ley 2277 de 2022, que modificaron los artículos </w:t>
      </w:r>
      <w:hyperlink r:id="rId10" w:tooltip="Estatuto Tributario CETA" w:history="1">
        <w:r w:rsidRPr="005319E3">
          <w:rPr>
            <w:rFonts w:ascii="Segoe UI" w:eastAsia="Times New Roman" w:hAnsi="Segoe UI" w:cs="Segoe UI"/>
            <w:color w:val="0645AD"/>
            <w:kern w:val="0"/>
            <w:sz w:val="21"/>
            <w:szCs w:val="21"/>
            <w:u w:val="single"/>
            <w:lang w:eastAsia="es-CO"/>
            <w14:ligatures w14:val="none"/>
          </w:rPr>
          <w:t>905</w:t>
        </w:r>
      </w:hyperlink>
      <w:r w:rsidRPr="005319E3">
        <w:rPr>
          <w:rFonts w:ascii="Segoe UI" w:eastAsia="Times New Roman" w:hAnsi="Segoe UI" w:cs="Segoe UI"/>
          <w:color w:val="000000"/>
          <w:kern w:val="0"/>
          <w:sz w:val="21"/>
          <w:szCs w:val="21"/>
          <w:lang w:eastAsia="es-CO"/>
          <w14:ligatures w14:val="none"/>
        </w:rPr>
        <w:t> y </w:t>
      </w:r>
      <w:hyperlink r:id="rId11" w:tooltip="Estatuto Tributario CETA" w:history="1">
        <w:r w:rsidRPr="005319E3">
          <w:rPr>
            <w:rFonts w:ascii="Segoe UI" w:eastAsia="Times New Roman" w:hAnsi="Segoe UI" w:cs="Segoe UI"/>
            <w:color w:val="0645AD"/>
            <w:kern w:val="0"/>
            <w:sz w:val="21"/>
            <w:szCs w:val="21"/>
            <w:u w:val="single"/>
            <w:lang w:eastAsia="es-CO"/>
            <w14:ligatures w14:val="none"/>
          </w:rPr>
          <w:t>908</w:t>
        </w:r>
      </w:hyperlink>
      <w:r w:rsidRPr="005319E3">
        <w:rPr>
          <w:rFonts w:ascii="Segoe UI" w:eastAsia="Times New Roman" w:hAnsi="Segoe UI" w:cs="Segoe UI"/>
          <w:color w:val="000000"/>
          <w:kern w:val="0"/>
          <w:sz w:val="21"/>
          <w:szCs w:val="21"/>
          <w:lang w:eastAsia="es-CO"/>
          <w14:ligatures w14:val="none"/>
        </w:rPr>
        <w:t> del Estatuto Tributario.</w:t>
      </w:r>
    </w:p>
    <w:p w14:paraId="78D7A32D"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039BF52E"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Se argumenta que la conclusión a la que llegó el mencionado oficio es contraria a la buena fe, la confianza legítima y la seguridad jurídica de los contribuyentes del SIMPLE. Lo anterior, argumentando que la aplicación de la tarifa establecida en el numeral 3 del artículo 42 de la Ley 2155 de 2021, revivida por la Corte en el mencionado fallo, podría tener efectos económicos catastróficos para los contribuyentes sujetos a ella. Además, sostiene que liquidar el impuesto bajo esta tarifa podría llevar a escenarios de insostenibilidad económica para los contribuyentes, debido a un cambio repentino en las reglas que ya estaban establecidas.</w:t>
      </w:r>
    </w:p>
    <w:p w14:paraId="111994B2"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1D6A1FDF"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El pronunciamiento objeto de reconsideración concluyó que:</w:t>
      </w:r>
    </w:p>
    <w:p w14:paraId="0B557220"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6807ED5F"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«i. Los contribuyentes del SIMPLE del año gravable 2023 que desarrollaron actividades de servicios profesionales de consultoría y científicos en los que predomine el factor intelectual sobre el material, incluidos los servicios de profesiones liberales </w:t>
      </w:r>
      <w:r w:rsidRPr="005319E3">
        <w:rPr>
          <w:rFonts w:ascii="Segoe UI" w:eastAsia="Times New Roman" w:hAnsi="Segoe UI" w:cs="Segoe UI"/>
          <w:color w:val="000000"/>
          <w:kern w:val="0"/>
          <w:sz w:val="21"/>
          <w:szCs w:val="21"/>
          <w:u w:val="single"/>
          <w:lang w:eastAsia="es-CO"/>
          <w14:ligatures w14:val="none"/>
        </w:rPr>
        <w:t>no podrán aplicar la tarifa declarada inexequible -i.e. del numeral 5 del </w:t>
      </w:r>
      <w:hyperlink r:id="rId12"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u w:val="single"/>
          <w:lang w:eastAsia="es-CO"/>
          <w14:ligatures w14:val="none"/>
        </w:rPr>
        <w:t> del Estatuto Tributario, modificada por la Ley 2277 de 2022-. En su lugar, deberán aplicar la tarifa del numeral 3 del artículo 42 de la Ley 2155 de 2021 que fue revivida por la Corte Constitucional.</w:t>
      </w:r>
    </w:p>
    <w:p w14:paraId="132A34C0"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5536580E"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proofErr w:type="spellStart"/>
      <w:r w:rsidRPr="005319E3">
        <w:rPr>
          <w:rFonts w:ascii="Segoe UI" w:eastAsia="Times New Roman" w:hAnsi="Segoe UI" w:cs="Segoe UI"/>
          <w:color w:val="000000"/>
          <w:kern w:val="0"/>
          <w:sz w:val="21"/>
          <w:szCs w:val="21"/>
          <w:lang w:eastAsia="es-CO"/>
          <w14:ligatures w14:val="none"/>
        </w:rPr>
        <w:t>ii</w:t>
      </w:r>
      <w:proofErr w:type="spellEnd"/>
      <w:r w:rsidRPr="005319E3">
        <w:rPr>
          <w:rFonts w:ascii="Segoe UI" w:eastAsia="Times New Roman" w:hAnsi="Segoe UI" w:cs="Segoe UI"/>
          <w:color w:val="000000"/>
          <w:kern w:val="0"/>
          <w:sz w:val="21"/>
          <w:szCs w:val="21"/>
          <w:lang w:eastAsia="es-CO"/>
          <w14:ligatures w14:val="none"/>
        </w:rPr>
        <w:t>. Los contribuyentes del SIMPLE del año gravable2023 que desarrollaron actividades de educación y actividades de atención de la salud humana y de asistencia social, </w:t>
      </w:r>
      <w:r w:rsidRPr="005319E3">
        <w:rPr>
          <w:rFonts w:ascii="Segoe UI" w:eastAsia="Times New Roman" w:hAnsi="Segoe UI" w:cs="Segoe UI"/>
          <w:color w:val="000000"/>
          <w:kern w:val="0"/>
          <w:sz w:val="21"/>
          <w:szCs w:val="21"/>
          <w:u w:val="single"/>
          <w:lang w:eastAsia="es-CO"/>
          <w14:ligatures w14:val="none"/>
        </w:rPr>
        <w:t>no podrán aplicar la tarifa declarada inexequible -i.e. del numeral 4 del </w:t>
      </w:r>
      <w:hyperlink r:id="rId13"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u w:val="single"/>
          <w:lang w:eastAsia="es-CO"/>
          <w14:ligatures w14:val="none"/>
        </w:rPr>
        <w:t> del Estatuto Tributario, modificada por la Ley 2277de 2022-. En su lugar, deberán aplicar la tarifa del numeral 3 del artículo 42 de la Ley 2155 de 2021que fue revivida por la Corte Constitucional</w:t>
      </w:r>
      <w:r w:rsidRPr="005319E3">
        <w:rPr>
          <w:rFonts w:ascii="Segoe UI" w:eastAsia="Times New Roman" w:hAnsi="Segoe UI" w:cs="Segoe UI"/>
          <w:color w:val="000000"/>
          <w:kern w:val="0"/>
          <w:sz w:val="21"/>
          <w:szCs w:val="21"/>
          <w:lang w:eastAsia="es-CO"/>
          <w14:ligatures w14:val="none"/>
        </w:rPr>
        <w:t>.» (énfasis propio)</w:t>
      </w:r>
    </w:p>
    <w:p w14:paraId="20DCF4AB"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57A306F5"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En primer lugar, es importante advertir que la principal razón sobre la cual se respalda la conclusión transcrita fue la decisión adoptada por la Corte Constitucional en la sentencia C-540 de 2023, en la que se estudiaron las demandas de inconstitucionalidad</w:t>
      </w:r>
      <w:hyperlink r:id="rId14" w:anchor="cite_note-3" w:history="1">
        <w:r w:rsidRPr="005319E3">
          <w:rPr>
            <w:rFonts w:ascii="Segoe UI" w:eastAsia="Times New Roman" w:hAnsi="Segoe UI" w:cs="Segoe UI"/>
            <w:color w:val="0645AD"/>
            <w:kern w:val="0"/>
            <w:sz w:val="21"/>
            <w:szCs w:val="21"/>
            <w:u w:val="single"/>
            <w:vertAlign w:val="superscript"/>
            <w:lang w:eastAsia="es-CO"/>
            <w14:ligatures w14:val="none"/>
          </w:rPr>
          <w:t>3</w:t>
        </w:r>
      </w:hyperlink>
      <w:r w:rsidRPr="005319E3">
        <w:rPr>
          <w:rFonts w:ascii="Segoe UI" w:eastAsia="Times New Roman" w:hAnsi="Segoe UI" w:cs="Segoe UI"/>
          <w:color w:val="000000"/>
          <w:kern w:val="0"/>
          <w:sz w:val="21"/>
          <w:szCs w:val="21"/>
          <w:lang w:eastAsia="es-CO"/>
          <w14:ligatures w14:val="none"/>
        </w:rPr>
        <w:t> presentadas contra los artículos 42 y 44 (parciales) de la Ley 2277 de 2022</w:t>
      </w:r>
      <w:hyperlink r:id="rId15" w:anchor="cite_note-4" w:history="1">
        <w:r w:rsidRPr="005319E3">
          <w:rPr>
            <w:rFonts w:ascii="Segoe UI" w:eastAsia="Times New Roman" w:hAnsi="Segoe UI" w:cs="Segoe UI"/>
            <w:color w:val="0645AD"/>
            <w:kern w:val="0"/>
            <w:sz w:val="21"/>
            <w:szCs w:val="21"/>
            <w:u w:val="single"/>
            <w:vertAlign w:val="superscript"/>
            <w:lang w:eastAsia="es-CO"/>
            <w14:ligatures w14:val="none"/>
          </w:rPr>
          <w:t>4</w:t>
        </w:r>
      </w:hyperlink>
      <w:r w:rsidRPr="005319E3">
        <w:rPr>
          <w:rFonts w:ascii="Segoe UI" w:eastAsia="Times New Roman" w:hAnsi="Segoe UI" w:cs="Segoe UI"/>
          <w:color w:val="000000"/>
          <w:kern w:val="0"/>
          <w:sz w:val="21"/>
          <w:szCs w:val="21"/>
          <w:lang w:eastAsia="es-CO"/>
          <w14:ligatures w14:val="none"/>
        </w:rPr>
        <w:t>, que modificaron los artículos </w:t>
      </w:r>
      <w:hyperlink r:id="rId16" w:tooltip="Estatuto Tributario CETA" w:history="1">
        <w:r w:rsidRPr="005319E3">
          <w:rPr>
            <w:rFonts w:ascii="Segoe UI" w:eastAsia="Times New Roman" w:hAnsi="Segoe UI" w:cs="Segoe UI"/>
            <w:color w:val="0645AD"/>
            <w:kern w:val="0"/>
            <w:sz w:val="21"/>
            <w:szCs w:val="21"/>
            <w:u w:val="single"/>
            <w:lang w:eastAsia="es-CO"/>
            <w14:ligatures w14:val="none"/>
          </w:rPr>
          <w:t>905</w:t>
        </w:r>
      </w:hyperlink>
      <w:r w:rsidRPr="005319E3">
        <w:rPr>
          <w:rFonts w:ascii="Segoe UI" w:eastAsia="Times New Roman" w:hAnsi="Segoe UI" w:cs="Segoe UI"/>
          <w:color w:val="000000"/>
          <w:kern w:val="0"/>
          <w:sz w:val="21"/>
          <w:szCs w:val="21"/>
          <w:lang w:eastAsia="es-CO"/>
          <w14:ligatures w14:val="none"/>
        </w:rPr>
        <w:t> y </w:t>
      </w:r>
      <w:hyperlink r:id="rId17" w:tooltip="Estatuto Tributario CETA" w:history="1">
        <w:r w:rsidRPr="005319E3">
          <w:rPr>
            <w:rFonts w:ascii="Segoe UI" w:eastAsia="Times New Roman" w:hAnsi="Segoe UI" w:cs="Segoe UI"/>
            <w:color w:val="0645AD"/>
            <w:kern w:val="0"/>
            <w:sz w:val="21"/>
            <w:szCs w:val="21"/>
            <w:u w:val="single"/>
            <w:lang w:eastAsia="es-CO"/>
            <w14:ligatures w14:val="none"/>
          </w:rPr>
          <w:t>908</w:t>
        </w:r>
      </w:hyperlink>
      <w:r w:rsidRPr="005319E3">
        <w:rPr>
          <w:rFonts w:ascii="Segoe UI" w:eastAsia="Times New Roman" w:hAnsi="Segoe UI" w:cs="Segoe UI"/>
          <w:color w:val="000000"/>
          <w:kern w:val="0"/>
          <w:sz w:val="21"/>
          <w:szCs w:val="21"/>
          <w:lang w:eastAsia="es-CO"/>
          <w14:ligatures w14:val="none"/>
        </w:rPr>
        <w:t> del Estatuto Tributario. En efecto, en el numeral segundo de la parte resolutiva de aquella decisión, la Corte resuelve</w:t>
      </w:r>
      <w:hyperlink r:id="rId18" w:anchor="cite_note-5" w:history="1">
        <w:r w:rsidRPr="005319E3">
          <w:rPr>
            <w:rFonts w:ascii="Segoe UI" w:eastAsia="Times New Roman" w:hAnsi="Segoe UI" w:cs="Segoe UI"/>
            <w:color w:val="0645AD"/>
            <w:kern w:val="0"/>
            <w:sz w:val="21"/>
            <w:szCs w:val="21"/>
            <w:u w:val="single"/>
            <w:vertAlign w:val="superscript"/>
            <w:lang w:eastAsia="es-CO"/>
            <w14:ligatures w14:val="none"/>
          </w:rPr>
          <w:t>5</w:t>
        </w:r>
      </w:hyperlink>
      <w:r w:rsidRPr="005319E3">
        <w:rPr>
          <w:rFonts w:ascii="Segoe UI" w:eastAsia="Times New Roman" w:hAnsi="Segoe UI" w:cs="Segoe UI"/>
          <w:color w:val="000000"/>
          <w:kern w:val="0"/>
          <w:sz w:val="21"/>
          <w:szCs w:val="21"/>
          <w:lang w:eastAsia="es-CO"/>
          <w14:ligatures w14:val="none"/>
        </w:rPr>
        <w:t>:</w:t>
      </w:r>
    </w:p>
    <w:p w14:paraId="244EBFBE"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7C1EB496"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lastRenderedPageBreak/>
        <w:t>«DECLARAR </w:t>
      </w:r>
      <w:r w:rsidRPr="005319E3">
        <w:rPr>
          <w:rFonts w:ascii="Segoe UI" w:eastAsia="Times New Roman" w:hAnsi="Segoe UI" w:cs="Segoe UI"/>
          <w:color w:val="000000"/>
          <w:kern w:val="0"/>
          <w:sz w:val="21"/>
          <w:szCs w:val="21"/>
          <w:u w:val="single"/>
          <w:lang w:eastAsia="es-CO"/>
          <w14:ligatures w14:val="none"/>
        </w:rPr>
        <w:t>INEXEQUIBLES</w:t>
      </w:r>
      <w:r w:rsidRPr="005319E3">
        <w:rPr>
          <w:rFonts w:ascii="Segoe UI" w:eastAsia="Times New Roman" w:hAnsi="Segoe UI" w:cs="Segoe UI"/>
          <w:color w:val="000000"/>
          <w:kern w:val="0"/>
          <w:sz w:val="21"/>
          <w:szCs w:val="21"/>
          <w:lang w:eastAsia="es-CO"/>
          <w14:ligatures w14:val="none"/>
        </w:rPr>
        <w:t> los numerales 4º y 5º del </w:t>
      </w:r>
      <w:hyperlink r:id="rId19"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lang w:eastAsia="es-CO"/>
          <w14:ligatures w14:val="none"/>
        </w:rPr>
        <w:t> del Estatuto Tributario y </w:t>
      </w:r>
      <w:r w:rsidRPr="005319E3">
        <w:rPr>
          <w:rFonts w:ascii="Segoe UI" w:eastAsia="Times New Roman" w:hAnsi="Segoe UI" w:cs="Segoe UI"/>
          <w:color w:val="000000"/>
          <w:kern w:val="0"/>
          <w:sz w:val="21"/>
          <w:szCs w:val="21"/>
          <w:u w:val="single"/>
          <w:lang w:eastAsia="es-CO"/>
          <w14:ligatures w14:val="none"/>
        </w:rPr>
        <w:t>los numerales 4º y 5º del parágrafo 4º del </w:t>
      </w:r>
      <w:hyperlink r:id="rId20"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u w:val="single"/>
          <w:lang w:eastAsia="es-CO"/>
          <w14:ligatures w14:val="none"/>
        </w:rPr>
        <w:t> del Estatuto Tributario</w:t>
      </w:r>
      <w:r w:rsidRPr="005319E3">
        <w:rPr>
          <w:rFonts w:ascii="Segoe UI" w:eastAsia="Times New Roman" w:hAnsi="Segoe UI" w:cs="Segoe UI"/>
          <w:color w:val="000000"/>
          <w:kern w:val="0"/>
          <w:sz w:val="21"/>
          <w:szCs w:val="21"/>
          <w:lang w:eastAsia="es-CO"/>
          <w14:ligatures w14:val="none"/>
        </w:rPr>
        <w:t>, de conformidad con la modificación efectuada por el artículo 44 de la Ley 2277 de 2022. Como consecuencia de lo anterior, </w:t>
      </w:r>
      <w:r w:rsidRPr="005319E3">
        <w:rPr>
          <w:rFonts w:ascii="Segoe UI" w:eastAsia="Times New Roman" w:hAnsi="Segoe UI" w:cs="Segoe UI"/>
          <w:color w:val="000000"/>
          <w:kern w:val="0"/>
          <w:sz w:val="21"/>
          <w:szCs w:val="21"/>
          <w:u w:val="single"/>
          <w:lang w:eastAsia="es-CO"/>
          <w14:ligatures w14:val="none"/>
        </w:rPr>
        <w:t>se revive el numeral 3º del artículo 42 de la Ley 2155 de 2021</w:t>
      </w:r>
      <w:r w:rsidRPr="005319E3">
        <w:rPr>
          <w:rFonts w:ascii="Segoe UI" w:eastAsia="Times New Roman" w:hAnsi="Segoe UI" w:cs="Segoe UI"/>
          <w:color w:val="000000"/>
          <w:kern w:val="0"/>
          <w:sz w:val="21"/>
          <w:szCs w:val="21"/>
          <w:lang w:eastAsia="es-CO"/>
          <w14:ligatures w14:val="none"/>
        </w:rPr>
        <w:t> que en su momento modificó el </w:t>
      </w:r>
      <w:hyperlink r:id="rId21"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lang w:eastAsia="es-CO"/>
          <w14:ligatures w14:val="none"/>
        </w:rPr>
        <w:t> del Estatuto Tributario.» (Énfasis propio).</w:t>
      </w:r>
    </w:p>
    <w:p w14:paraId="4102D328"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246B7854"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xml:space="preserve">La declaratoria de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xml:space="preserve"> generó un vacío jurídico que era necesario evitar para no vulnerar los derechos fundamentales de los contribuyentes, y también para evitar crear dificultades en la administración para el recaudo de dichos tributos. Por esta razón, la Corte optó por declarar la reviviscencia del numeral 3 del artículo 42 de la Ley 2155 de 2021, que regulaba las tarifas aplicables a los contribuyentes antes de su derogatoria por parte del artículo 44 de la Ley 2277 de 2022, declarado inconstitucional.</w:t>
      </w:r>
    </w:p>
    <w:p w14:paraId="49F3FD57"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304ACFBE"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Sobre este punto, es importante mencionar que, en términos jurídicos, la reviviscencia se refiere a la acción y el efecto de restablecer una norma que había sido derogada en el pasado por otra disposición, con el fin de que la primera recupere su vigencia y, por consiguiente, produzca efectos jurídicos nuevamente. Según la jurisprudencia constitucional</w:t>
      </w:r>
      <w:hyperlink r:id="rId22" w:anchor="cite_note-6" w:history="1">
        <w:r w:rsidRPr="005319E3">
          <w:rPr>
            <w:rFonts w:ascii="Segoe UI" w:eastAsia="Times New Roman" w:hAnsi="Segoe UI" w:cs="Segoe UI"/>
            <w:color w:val="0645AD"/>
            <w:kern w:val="0"/>
            <w:sz w:val="21"/>
            <w:szCs w:val="21"/>
            <w:u w:val="single"/>
            <w:vertAlign w:val="superscript"/>
            <w:lang w:eastAsia="es-CO"/>
            <w14:ligatures w14:val="none"/>
          </w:rPr>
          <w:t>6</w:t>
        </w:r>
      </w:hyperlink>
      <w:r w:rsidRPr="005319E3">
        <w:rPr>
          <w:rFonts w:ascii="Segoe UI" w:eastAsia="Times New Roman" w:hAnsi="Segoe UI" w:cs="Segoe UI"/>
          <w:color w:val="000000"/>
          <w:kern w:val="0"/>
          <w:sz w:val="21"/>
          <w:szCs w:val="21"/>
          <w:lang w:eastAsia="es-CO"/>
          <w14:ligatures w14:val="none"/>
        </w:rPr>
        <w:t> la reviviscencia se ha presentado:</w:t>
      </w:r>
    </w:p>
    <w:p w14:paraId="41107D65"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30A76F92"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xml:space="preserve">«“[…] como solución a los problemas que plantea el vacío jurídico creado por la derogación de normas que regulan, </w:t>
      </w:r>
      <w:proofErr w:type="spellStart"/>
      <w:r w:rsidRPr="005319E3">
        <w:rPr>
          <w:rFonts w:ascii="Segoe UI" w:eastAsia="Times New Roman" w:hAnsi="Segoe UI" w:cs="Segoe UI"/>
          <w:color w:val="000000"/>
          <w:kern w:val="0"/>
          <w:sz w:val="21"/>
          <w:szCs w:val="21"/>
          <w:lang w:eastAsia="es-CO"/>
          <w14:ligatures w14:val="none"/>
        </w:rPr>
        <w:t>sobretodo</w:t>
      </w:r>
      <w:proofErr w:type="spellEnd"/>
      <w:r w:rsidRPr="005319E3">
        <w:rPr>
          <w:rFonts w:ascii="Segoe UI" w:eastAsia="Times New Roman" w:hAnsi="Segoe UI" w:cs="Segoe UI"/>
          <w:color w:val="000000"/>
          <w:kern w:val="0"/>
          <w:sz w:val="21"/>
          <w:szCs w:val="21"/>
          <w:lang w:eastAsia="es-CO"/>
          <w14:ligatures w14:val="none"/>
        </w:rPr>
        <w:t xml:space="preserve"> (sic) de manera integral, una determinada materia, conllevando igualmente problemas de seguridad jurídica”, lo anterior, siempre y cuando la reviviscencia sea necesaria “para garantizar la supremacía constitucional, en razón del impacto que tendría la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xml:space="preserve"> frente al ordenamiento jurídico y respecto de los derechos de las personas”»</w:t>
      </w:r>
      <w:hyperlink r:id="rId23" w:anchor="cite_note-7" w:history="1">
        <w:r w:rsidRPr="005319E3">
          <w:rPr>
            <w:rFonts w:ascii="Segoe UI" w:eastAsia="Times New Roman" w:hAnsi="Segoe UI" w:cs="Segoe UI"/>
            <w:color w:val="0645AD"/>
            <w:kern w:val="0"/>
            <w:sz w:val="21"/>
            <w:szCs w:val="21"/>
            <w:u w:val="single"/>
            <w:vertAlign w:val="superscript"/>
            <w:lang w:eastAsia="es-CO"/>
            <w14:ligatures w14:val="none"/>
          </w:rPr>
          <w:t>7</w:t>
        </w:r>
      </w:hyperlink>
      <w:r w:rsidRPr="005319E3">
        <w:rPr>
          <w:rFonts w:ascii="Segoe UI" w:eastAsia="Times New Roman" w:hAnsi="Segoe UI" w:cs="Segoe UI"/>
          <w:color w:val="000000"/>
          <w:kern w:val="0"/>
          <w:sz w:val="21"/>
          <w:szCs w:val="21"/>
          <w:lang w:eastAsia="es-CO"/>
          <w14:ligatures w14:val="none"/>
        </w:rPr>
        <w:t>.</w:t>
      </w:r>
    </w:p>
    <w:p w14:paraId="227012C0"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408C1A01"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La reviviscencia de las disposiciones derogadas por una ley posteriormente declarada inexequible no opera de manera automática</w:t>
      </w:r>
      <w:hyperlink r:id="rId24" w:anchor="cite_note-8" w:history="1">
        <w:r w:rsidRPr="005319E3">
          <w:rPr>
            <w:rFonts w:ascii="Segoe UI" w:eastAsia="Times New Roman" w:hAnsi="Segoe UI" w:cs="Segoe UI"/>
            <w:color w:val="0645AD"/>
            <w:kern w:val="0"/>
            <w:sz w:val="21"/>
            <w:szCs w:val="21"/>
            <w:u w:val="single"/>
            <w:vertAlign w:val="superscript"/>
            <w:lang w:eastAsia="es-CO"/>
            <w14:ligatures w14:val="none"/>
          </w:rPr>
          <w:t>8</w:t>
        </w:r>
      </w:hyperlink>
      <w:r w:rsidRPr="005319E3">
        <w:rPr>
          <w:rFonts w:ascii="Segoe UI" w:eastAsia="Times New Roman" w:hAnsi="Segoe UI" w:cs="Segoe UI"/>
          <w:color w:val="000000"/>
          <w:kern w:val="0"/>
          <w:sz w:val="21"/>
          <w:szCs w:val="21"/>
          <w:lang w:eastAsia="es-CO"/>
          <w14:ligatures w14:val="none"/>
        </w:rPr>
        <w:t>. Requiere un estudio previo que permita determinar si la disposición revivida no es contraria al ordenamiento jurídico y si con ella se garantiza la supremacía de la Constitución</w:t>
      </w:r>
      <w:hyperlink r:id="rId25" w:anchor="cite_note-9" w:history="1">
        <w:r w:rsidRPr="005319E3">
          <w:rPr>
            <w:rFonts w:ascii="Segoe UI" w:eastAsia="Times New Roman" w:hAnsi="Segoe UI" w:cs="Segoe UI"/>
            <w:color w:val="0645AD"/>
            <w:kern w:val="0"/>
            <w:sz w:val="21"/>
            <w:szCs w:val="21"/>
            <w:u w:val="single"/>
            <w:vertAlign w:val="superscript"/>
            <w:lang w:eastAsia="es-CO"/>
            <w14:ligatures w14:val="none"/>
          </w:rPr>
          <w:t>9</w:t>
        </w:r>
      </w:hyperlink>
      <w:r w:rsidRPr="005319E3">
        <w:rPr>
          <w:rFonts w:ascii="Segoe UI" w:eastAsia="Times New Roman" w:hAnsi="Segoe UI" w:cs="Segoe UI"/>
          <w:color w:val="000000"/>
          <w:kern w:val="0"/>
          <w:sz w:val="21"/>
          <w:szCs w:val="21"/>
          <w:lang w:eastAsia="es-CO"/>
          <w14:ligatures w14:val="none"/>
        </w:rPr>
        <w:t>. Para el efecto, la jurisprudencia constitucional estableció una serie de requisitos</w:t>
      </w:r>
      <w:hyperlink r:id="rId26" w:anchor="cite_note-10" w:history="1">
        <w:r w:rsidRPr="005319E3">
          <w:rPr>
            <w:rFonts w:ascii="Segoe UI" w:eastAsia="Times New Roman" w:hAnsi="Segoe UI" w:cs="Segoe UI"/>
            <w:color w:val="0645AD"/>
            <w:kern w:val="0"/>
            <w:sz w:val="21"/>
            <w:szCs w:val="21"/>
            <w:u w:val="single"/>
            <w:vertAlign w:val="superscript"/>
            <w:lang w:eastAsia="es-CO"/>
            <w14:ligatures w14:val="none"/>
          </w:rPr>
          <w:t>10</w:t>
        </w:r>
      </w:hyperlink>
      <w:r w:rsidRPr="005319E3">
        <w:rPr>
          <w:rFonts w:ascii="Segoe UI" w:eastAsia="Times New Roman" w:hAnsi="Segoe UI" w:cs="Segoe UI"/>
          <w:color w:val="000000"/>
          <w:kern w:val="0"/>
          <w:sz w:val="21"/>
          <w:szCs w:val="21"/>
          <w:lang w:eastAsia="es-CO"/>
          <w14:ligatures w14:val="none"/>
        </w:rPr>
        <w:t>, para su aplicabilidad:</w:t>
      </w:r>
    </w:p>
    <w:p w14:paraId="59CE726D"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6008A62C"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«(i) la necesidad de establecer el peso específico que les asiste a los principios de justicia y seguridad jurídica en el caso concreto, esto es, las consecuencias que se derivarían de la reincorporación frente a los principios y valores constitucionales; y (</w:t>
      </w:r>
      <w:proofErr w:type="spellStart"/>
      <w:r w:rsidRPr="005319E3">
        <w:rPr>
          <w:rFonts w:ascii="Segoe UI" w:eastAsia="Times New Roman" w:hAnsi="Segoe UI" w:cs="Segoe UI"/>
          <w:color w:val="000000"/>
          <w:kern w:val="0"/>
          <w:sz w:val="21"/>
          <w:szCs w:val="21"/>
          <w:lang w:eastAsia="es-CO"/>
          <w14:ligatures w14:val="none"/>
        </w:rPr>
        <w:t>ii</w:t>
      </w:r>
      <w:proofErr w:type="spellEnd"/>
      <w:r w:rsidRPr="005319E3">
        <w:rPr>
          <w:rFonts w:ascii="Segoe UI" w:eastAsia="Times New Roman" w:hAnsi="Segoe UI" w:cs="Segoe UI"/>
          <w:color w:val="000000"/>
          <w:kern w:val="0"/>
          <w:sz w:val="21"/>
          <w:szCs w:val="21"/>
          <w:lang w:eastAsia="es-CO"/>
          <w14:ligatures w14:val="none"/>
        </w:rPr>
        <w:t>) la garantía de la supremacía constitucional y los derechos fundamentales, lo que remite a la obligatoriedad de la reincorporación cuando el vacío normativo que se generaría sin ella involucraría la afectación o puesta en riesgo de los mismos.»</w:t>
      </w:r>
      <w:hyperlink r:id="rId27" w:anchor="cite_note-11" w:history="1">
        <w:r w:rsidRPr="005319E3">
          <w:rPr>
            <w:rFonts w:ascii="Segoe UI" w:eastAsia="Times New Roman" w:hAnsi="Segoe UI" w:cs="Segoe UI"/>
            <w:color w:val="0645AD"/>
            <w:kern w:val="0"/>
            <w:sz w:val="21"/>
            <w:szCs w:val="21"/>
            <w:u w:val="single"/>
            <w:vertAlign w:val="superscript"/>
            <w:lang w:eastAsia="es-CO"/>
            <w14:ligatures w14:val="none"/>
          </w:rPr>
          <w:t>11</w:t>
        </w:r>
      </w:hyperlink>
    </w:p>
    <w:p w14:paraId="46DBD960"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7B2F0739"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xml:space="preserve">En ese sentido, al revivirse el numeral 3 del artículo 42 de la Ley 2155 de 2021, la Corte resolvió (i) el vacío normativo generado con la declaratoria de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w:t>
      </w:r>
      <w:proofErr w:type="spellStart"/>
      <w:r w:rsidRPr="005319E3">
        <w:rPr>
          <w:rFonts w:ascii="Segoe UI" w:eastAsia="Times New Roman" w:hAnsi="Segoe UI" w:cs="Segoe UI"/>
          <w:color w:val="000000"/>
          <w:kern w:val="0"/>
          <w:sz w:val="21"/>
          <w:szCs w:val="21"/>
          <w:lang w:eastAsia="es-CO"/>
          <w14:ligatures w14:val="none"/>
        </w:rPr>
        <w:t>ii</w:t>
      </w:r>
      <w:proofErr w:type="spellEnd"/>
      <w:r w:rsidRPr="005319E3">
        <w:rPr>
          <w:rFonts w:ascii="Segoe UI" w:eastAsia="Times New Roman" w:hAnsi="Segoe UI" w:cs="Segoe UI"/>
          <w:color w:val="000000"/>
          <w:kern w:val="0"/>
          <w:sz w:val="21"/>
          <w:szCs w:val="21"/>
          <w:lang w:eastAsia="es-CO"/>
          <w14:ligatures w14:val="none"/>
        </w:rPr>
        <w:t>) mediante una disposición que se ajustaba a la constitución, (</w:t>
      </w:r>
      <w:proofErr w:type="spellStart"/>
      <w:r w:rsidRPr="005319E3">
        <w:rPr>
          <w:rFonts w:ascii="Segoe UI" w:eastAsia="Times New Roman" w:hAnsi="Segoe UI" w:cs="Segoe UI"/>
          <w:color w:val="000000"/>
          <w:kern w:val="0"/>
          <w:sz w:val="21"/>
          <w:szCs w:val="21"/>
          <w:lang w:eastAsia="es-CO"/>
          <w14:ligatures w14:val="none"/>
        </w:rPr>
        <w:t>iii</w:t>
      </w:r>
      <w:proofErr w:type="spellEnd"/>
      <w:r w:rsidRPr="005319E3">
        <w:rPr>
          <w:rFonts w:ascii="Segoe UI" w:eastAsia="Times New Roman" w:hAnsi="Segoe UI" w:cs="Segoe UI"/>
          <w:color w:val="000000"/>
          <w:kern w:val="0"/>
          <w:sz w:val="21"/>
          <w:szCs w:val="21"/>
          <w:lang w:eastAsia="es-CO"/>
          <w14:ligatures w14:val="none"/>
        </w:rPr>
        <w:t>) evitando así posibles vulneraciones o puestas en peligro a derechos fundamentales:</w:t>
      </w:r>
    </w:p>
    <w:p w14:paraId="5634FD42"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49E4A804"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a efectos de que la anterior determinación no deje un vacío normativo en cuanto excluir del RST a los profesionales liberales o frente al umbral y las tarifas que deben aplicarse a los contribuyentes que integraban los grupos 4 y 5 del RST, y dada la libertad de configuración legislativa que existe en materia tributaria, la Sala declarará la reviviscencia del numeral 3º del 42 de la Ley 2155 de 2021, que en su momento modificó el </w:t>
      </w:r>
      <w:hyperlink r:id="rId28"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lang w:eastAsia="es-CO"/>
          <w14:ligatures w14:val="none"/>
        </w:rPr>
        <w:t> del Estatuto Tributario. </w:t>
      </w:r>
      <w:r w:rsidRPr="005319E3">
        <w:rPr>
          <w:rFonts w:ascii="Segoe UI" w:eastAsia="Times New Roman" w:hAnsi="Segoe UI" w:cs="Segoe UI"/>
          <w:color w:val="000000"/>
          <w:kern w:val="0"/>
          <w:sz w:val="21"/>
          <w:szCs w:val="21"/>
          <w:u w:val="single"/>
          <w:lang w:eastAsia="es-CO"/>
          <w14:ligatures w14:val="none"/>
        </w:rPr>
        <w:t>El referido numeral contiene la tarifa del impuesto unificado bajo el Régimen Simple de Tributación para servicios profesionales, de consultoría y científicos en los que predomine el factor intelectual sobre el material, incluidos los servicios de profesiones liberales, que engloba a los que luego fueron separados en los grupos 4 y 5 por el artículo 44 la Ley 2277 de 2022</w:t>
      </w:r>
      <w:r w:rsidRPr="005319E3">
        <w:rPr>
          <w:rFonts w:ascii="Segoe UI" w:eastAsia="Times New Roman" w:hAnsi="Segoe UI" w:cs="Segoe UI"/>
          <w:color w:val="000000"/>
          <w:kern w:val="0"/>
          <w:sz w:val="21"/>
          <w:szCs w:val="21"/>
          <w:lang w:eastAsia="es-CO"/>
          <w14:ligatures w14:val="none"/>
        </w:rPr>
        <w:t>» (énfasis propio)</w:t>
      </w:r>
      <w:hyperlink r:id="rId29" w:anchor="cite_note-12" w:history="1">
        <w:r w:rsidRPr="005319E3">
          <w:rPr>
            <w:rFonts w:ascii="Segoe UI" w:eastAsia="Times New Roman" w:hAnsi="Segoe UI" w:cs="Segoe UI"/>
            <w:color w:val="0645AD"/>
            <w:kern w:val="0"/>
            <w:sz w:val="21"/>
            <w:szCs w:val="21"/>
            <w:u w:val="single"/>
            <w:vertAlign w:val="superscript"/>
            <w:lang w:eastAsia="es-CO"/>
            <w14:ligatures w14:val="none"/>
          </w:rPr>
          <w:t>12</w:t>
        </w:r>
      </w:hyperlink>
    </w:p>
    <w:p w14:paraId="640E6F87"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18D9723A"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Para este despacho, tal determinación sirvió de parámetro obligatorio para que el oficio objeto de disenso arribara a la conclusión que aquí se discute. De hecho, el mencionado oficio proporcionó la siguiente aclaración:</w:t>
      </w:r>
    </w:p>
    <w:p w14:paraId="68FFC8ED"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37CC0C3B"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«Los numerales declarados inexequibles se referían a las tarifas aplicables a las actividades de dos grupos: (i) educación y actividades de atención de la salud humana y de asistencia social; y (</w:t>
      </w:r>
      <w:proofErr w:type="spellStart"/>
      <w:r w:rsidRPr="005319E3">
        <w:rPr>
          <w:rFonts w:ascii="Segoe UI" w:eastAsia="Times New Roman" w:hAnsi="Segoe UI" w:cs="Segoe UI"/>
          <w:color w:val="000000"/>
          <w:kern w:val="0"/>
          <w:sz w:val="21"/>
          <w:szCs w:val="21"/>
          <w:lang w:eastAsia="es-CO"/>
          <w14:ligatures w14:val="none"/>
        </w:rPr>
        <w:t>ii</w:t>
      </w:r>
      <w:proofErr w:type="spellEnd"/>
      <w:r w:rsidRPr="005319E3">
        <w:rPr>
          <w:rFonts w:ascii="Segoe UI" w:eastAsia="Times New Roman" w:hAnsi="Segoe UI" w:cs="Segoe UI"/>
          <w:color w:val="000000"/>
          <w:kern w:val="0"/>
          <w:sz w:val="21"/>
          <w:szCs w:val="21"/>
          <w:lang w:eastAsia="es-CO"/>
          <w14:ligatures w14:val="none"/>
        </w:rPr>
        <w:t xml:space="preserve">) </w:t>
      </w:r>
      <w:r w:rsidRPr="005319E3">
        <w:rPr>
          <w:rFonts w:ascii="Segoe UI" w:eastAsia="Times New Roman" w:hAnsi="Segoe UI" w:cs="Segoe UI"/>
          <w:color w:val="000000"/>
          <w:kern w:val="0"/>
          <w:sz w:val="21"/>
          <w:szCs w:val="21"/>
          <w:lang w:eastAsia="es-CO"/>
          <w14:ligatures w14:val="none"/>
        </w:rPr>
        <w:lastRenderedPageBreak/>
        <w:t>servicios profesionales de consultoría y científicos en los que predomine el factor intelectual sobre el material, incluidos los servicios de profesiones liberales. Por su parte, el numeral revivido se refiere únicamente a la tarifa aplicable a servicios profesionales de consultoría y científicos en los que predomine el factor intelectual sobre el material, incluidos los servicios de profesiones liberales. </w:t>
      </w:r>
      <w:r w:rsidRPr="005319E3">
        <w:rPr>
          <w:rFonts w:ascii="Segoe UI" w:eastAsia="Times New Roman" w:hAnsi="Segoe UI" w:cs="Segoe UI"/>
          <w:color w:val="000000"/>
          <w:kern w:val="0"/>
          <w:sz w:val="21"/>
          <w:szCs w:val="21"/>
          <w:u w:val="single"/>
          <w:lang w:eastAsia="es-CO"/>
          <w14:ligatures w14:val="none"/>
        </w:rPr>
        <w:t>En este último grupo, se entienden incluidas las actividades de educación y actividades de atención de la salud humana y de asistencia social.</w:t>
      </w:r>
      <w:r w:rsidRPr="005319E3">
        <w:rPr>
          <w:rFonts w:ascii="Segoe UI" w:eastAsia="Times New Roman" w:hAnsi="Segoe UI" w:cs="Segoe UI"/>
          <w:color w:val="000000"/>
          <w:kern w:val="0"/>
          <w:sz w:val="21"/>
          <w:szCs w:val="21"/>
          <w:lang w:eastAsia="es-CO"/>
          <w14:ligatures w14:val="none"/>
        </w:rPr>
        <w:t>» (énfasis propio)</w:t>
      </w:r>
    </w:p>
    <w:p w14:paraId="29FE0EFF"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12922521"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xml:space="preserve">En este punto, es importante aclarar que, tal como se afirma en el oficio en cuestión, una vez que la Corte Constitucional declara la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xml:space="preserve"> de una ley, esta queda excluida del ordenamiento jurídico y tiene efectos inmediatos. Además, ninguna autoridad puede reiterar el contenido material del acto jurídico declarado inexequible por razones de fondo, siempre y cuando las disposiciones constitucionales que sirvieron de base para la confrontación entre la norma ordinaria y la Constitución continúen vigentes.</w:t>
      </w:r>
    </w:p>
    <w:p w14:paraId="0BA72A53"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270F62A2"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Bajo este contexto, la jurisprudencia constitucional sostiene que la obligatoriedad de los fallos judiciales de las altas cortes se fundamenta en que «todas las autoridades públicas, de carácter administrativo o judicial, de cualquier orden, nacional, regional o local, se encuentran sometidas a la Constitución y a la ley, y que como parte de esa sujeción, las autoridades administrativas se encuentran obligadas a acatar el precedente judicial dictado por las Altas Cortes de la jurisdicción ordinaria, contencioso administrativa y constitucional»</w:t>
      </w:r>
      <w:hyperlink r:id="rId30" w:anchor="cite_note-13" w:history="1">
        <w:r w:rsidRPr="005319E3">
          <w:rPr>
            <w:rFonts w:ascii="Segoe UI" w:eastAsia="Times New Roman" w:hAnsi="Segoe UI" w:cs="Segoe UI"/>
            <w:color w:val="0645AD"/>
            <w:kern w:val="0"/>
            <w:sz w:val="21"/>
            <w:szCs w:val="21"/>
            <w:u w:val="single"/>
            <w:vertAlign w:val="superscript"/>
            <w:lang w:eastAsia="es-CO"/>
            <w14:ligatures w14:val="none"/>
          </w:rPr>
          <w:t>13</w:t>
        </w:r>
      </w:hyperlink>
      <w:r w:rsidRPr="005319E3">
        <w:rPr>
          <w:rFonts w:ascii="Segoe UI" w:eastAsia="Times New Roman" w:hAnsi="Segoe UI" w:cs="Segoe UI"/>
          <w:color w:val="000000"/>
          <w:kern w:val="0"/>
          <w:sz w:val="21"/>
          <w:szCs w:val="21"/>
          <w:lang w:eastAsia="es-CO"/>
          <w14:ligatures w14:val="none"/>
        </w:rPr>
        <w:t>. Lo anterior, se desprende del mandato consagrado en los artículos 4, 6 y 123 de la Constitución Política que demanda de todos los servidores y de todas las autoridades una sujeción a los mandatos de la Constitución.</w:t>
      </w:r>
    </w:p>
    <w:p w14:paraId="1447A856"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1C11A9A9"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Ahora bien, la Corte Constitucional, en su papel de guardiana de la integridad y supremacía de la Constitución, tiene la responsabilidad de realizar la interpretación definitiva de la misma, de acuerdo con lo establecido en el artículo 241 de la Constitución</w:t>
      </w:r>
      <w:hyperlink r:id="rId31" w:anchor="cite_note-14" w:history="1">
        <w:r w:rsidRPr="005319E3">
          <w:rPr>
            <w:rFonts w:ascii="Segoe UI" w:eastAsia="Times New Roman" w:hAnsi="Segoe UI" w:cs="Segoe UI"/>
            <w:color w:val="0645AD"/>
            <w:kern w:val="0"/>
            <w:sz w:val="21"/>
            <w:szCs w:val="21"/>
            <w:u w:val="single"/>
            <w:vertAlign w:val="superscript"/>
            <w:lang w:eastAsia="es-CO"/>
            <w14:ligatures w14:val="none"/>
          </w:rPr>
          <w:t>14</w:t>
        </w:r>
      </w:hyperlink>
      <w:r w:rsidRPr="005319E3">
        <w:rPr>
          <w:rFonts w:ascii="Segoe UI" w:eastAsia="Times New Roman" w:hAnsi="Segoe UI" w:cs="Segoe UI"/>
          <w:color w:val="000000"/>
          <w:kern w:val="0"/>
          <w:sz w:val="21"/>
          <w:szCs w:val="21"/>
          <w:lang w:eastAsia="es-CO"/>
          <w14:ligatures w14:val="none"/>
        </w:rPr>
        <w:t>. Esta interpretación es vinculante para todos los operadores jurídicos, ya sean administrativos o judiciales</w:t>
      </w:r>
      <w:hyperlink r:id="rId32" w:anchor="cite_note-15" w:history="1">
        <w:r w:rsidRPr="005319E3">
          <w:rPr>
            <w:rFonts w:ascii="Segoe UI" w:eastAsia="Times New Roman" w:hAnsi="Segoe UI" w:cs="Segoe UI"/>
            <w:color w:val="0645AD"/>
            <w:kern w:val="0"/>
            <w:sz w:val="21"/>
            <w:szCs w:val="21"/>
            <w:u w:val="single"/>
            <w:vertAlign w:val="superscript"/>
            <w:lang w:eastAsia="es-CO"/>
            <w14:ligatures w14:val="none"/>
          </w:rPr>
          <w:t>15</w:t>
        </w:r>
      </w:hyperlink>
      <w:r w:rsidRPr="005319E3">
        <w:rPr>
          <w:rFonts w:ascii="Segoe UI" w:eastAsia="Times New Roman" w:hAnsi="Segoe UI" w:cs="Segoe UI"/>
          <w:color w:val="000000"/>
          <w:kern w:val="0"/>
          <w:sz w:val="21"/>
          <w:szCs w:val="21"/>
          <w:lang w:eastAsia="es-CO"/>
          <w14:ligatures w14:val="none"/>
        </w:rPr>
        <w:t>. En el caso de las autoridades administrativas, esta vinculación es absoluta cuando se trata de decisiones de control abstracto de constitucionalidad con efectos </w:t>
      </w:r>
      <w:r w:rsidRPr="005319E3">
        <w:rPr>
          <w:rFonts w:ascii="Segoe UI" w:eastAsia="Times New Roman" w:hAnsi="Segoe UI" w:cs="Segoe UI"/>
          <w:i/>
          <w:iCs/>
          <w:color w:val="000000"/>
          <w:kern w:val="0"/>
          <w:sz w:val="21"/>
          <w:szCs w:val="21"/>
          <w:lang w:eastAsia="es-CO"/>
          <w14:ligatures w14:val="none"/>
        </w:rPr>
        <w:t>erga omnes</w:t>
      </w:r>
      <w:hyperlink r:id="rId33" w:anchor="cite_note-16" w:history="1">
        <w:r w:rsidRPr="005319E3">
          <w:rPr>
            <w:rFonts w:ascii="Segoe UI" w:eastAsia="Times New Roman" w:hAnsi="Segoe UI" w:cs="Segoe UI"/>
            <w:color w:val="0645AD"/>
            <w:kern w:val="0"/>
            <w:sz w:val="21"/>
            <w:szCs w:val="21"/>
            <w:u w:val="single"/>
            <w:vertAlign w:val="superscript"/>
            <w:lang w:eastAsia="es-CO"/>
            <w14:ligatures w14:val="none"/>
          </w:rPr>
          <w:t>16</w:t>
        </w:r>
      </w:hyperlink>
      <w:r w:rsidRPr="005319E3">
        <w:rPr>
          <w:rFonts w:ascii="Segoe UI" w:eastAsia="Times New Roman" w:hAnsi="Segoe UI" w:cs="Segoe UI"/>
          <w:color w:val="000000"/>
          <w:kern w:val="0"/>
          <w:sz w:val="21"/>
          <w:szCs w:val="21"/>
          <w:lang w:eastAsia="es-CO"/>
          <w14:ligatures w14:val="none"/>
        </w:rPr>
        <w:t>; de estas decisiones las autoridades no pueden apartarse</w:t>
      </w:r>
      <w:hyperlink r:id="rId34" w:anchor="cite_note-17" w:history="1">
        <w:r w:rsidRPr="005319E3">
          <w:rPr>
            <w:rFonts w:ascii="Segoe UI" w:eastAsia="Times New Roman" w:hAnsi="Segoe UI" w:cs="Segoe UI"/>
            <w:color w:val="0645AD"/>
            <w:kern w:val="0"/>
            <w:sz w:val="21"/>
            <w:szCs w:val="21"/>
            <w:u w:val="single"/>
            <w:vertAlign w:val="superscript"/>
            <w:lang w:eastAsia="es-CO"/>
            <w14:ligatures w14:val="none"/>
          </w:rPr>
          <w:t>17</w:t>
        </w:r>
      </w:hyperlink>
      <w:r w:rsidRPr="005319E3">
        <w:rPr>
          <w:rFonts w:ascii="Segoe UI" w:eastAsia="Times New Roman" w:hAnsi="Segoe UI" w:cs="Segoe UI"/>
          <w:color w:val="000000"/>
          <w:kern w:val="0"/>
          <w:sz w:val="21"/>
          <w:szCs w:val="21"/>
          <w:lang w:eastAsia="es-CO"/>
          <w14:ligatures w14:val="none"/>
        </w:rPr>
        <w:t>. En este sentido, la Corte ha sostenido que:</w:t>
      </w:r>
    </w:p>
    <w:p w14:paraId="6CA677A2"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49486761"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«Una vez la Corte Constitucional declara inexequible una disposición legal, </w:t>
      </w:r>
      <w:r w:rsidRPr="005319E3">
        <w:rPr>
          <w:rFonts w:ascii="Segoe UI" w:eastAsia="Times New Roman" w:hAnsi="Segoe UI" w:cs="Segoe UI"/>
          <w:color w:val="000000"/>
          <w:kern w:val="0"/>
          <w:sz w:val="21"/>
          <w:szCs w:val="21"/>
          <w:u w:val="single"/>
          <w:lang w:eastAsia="es-CO"/>
          <w14:ligatures w14:val="none"/>
        </w:rPr>
        <w:t>ningún servidor público puede emitir resolución, dictamen o concepto fundado en aquélla, por cuanto de esta manera se estaría desconociendo directamente la Constitución</w:t>
      </w:r>
      <w:r w:rsidRPr="005319E3">
        <w:rPr>
          <w:rFonts w:ascii="Segoe UI" w:eastAsia="Times New Roman" w:hAnsi="Segoe UI" w:cs="Segoe UI"/>
          <w:color w:val="000000"/>
          <w:kern w:val="0"/>
          <w:sz w:val="21"/>
          <w:szCs w:val="21"/>
          <w:lang w:eastAsia="es-CO"/>
          <w14:ligatures w14:val="none"/>
        </w:rPr>
        <w:t xml:space="preserve">. De igual manera, una vez proferido un fallo de </w:t>
      </w:r>
      <w:proofErr w:type="spellStart"/>
      <w:r w:rsidRPr="005319E3">
        <w:rPr>
          <w:rFonts w:ascii="Segoe UI" w:eastAsia="Times New Roman" w:hAnsi="Segoe UI" w:cs="Segoe UI"/>
          <w:color w:val="000000"/>
          <w:kern w:val="0"/>
          <w:sz w:val="21"/>
          <w:szCs w:val="21"/>
          <w:lang w:eastAsia="es-CO"/>
          <w14:ligatures w14:val="none"/>
        </w:rPr>
        <w:t>exequibilidad</w:t>
      </w:r>
      <w:proofErr w:type="spellEnd"/>
      <w:r w:rsidRPr="005319E3">
        <w:rPr>
          <w:rFonts w:ascii="Segoe UI" w:eastAsia="Times New Roman" w:hAnsi="Segoe UI" w:cs="Segoe UI"/>
          <w:color w:val="000000"/>
          <w:kern w:val="0"/>
          <w:sz w:val="21"/>
          <w:szCs w:val="21"/>
          <w:lang w:eastAsia="es-CO"/>
          <w14:ligatures w14:val="none"/>
        </w:rPr>
        <w:t xml:space="preserve"> condicionado, al servidor público le está vedado acordarle a la ley un significado distinto de aquel que la Corte consideró que era el único ajustado a la Carta Política»</w:t>
      </w:r>
      <w:hyperlink r:id="rId35" w:anchor="cite_note-18" w:history="1">
        <w:r w:rsidRPr="005319E3">
          <w:rPr>
            <w:rFonts w:ascii="Segoe UI" w:eastAsia="Times New Roman" w:hAnsi="Segoe UI" w:cs="Segoe UI"/>
            <w:color w:val="0645AD"/>
            <w:kern w:val="0"/>
            <w:sz w:val="21"/>
            <w:szCs w:val="21"/>
            <w:u w:val="single"/>
            <w:vertAlign w:val="superscript"/>
            <w:lang w:eastAsia="es-CO"/>
            <w14:ligatures w14:val="none"/>
          </w:rPr>
          <w:t>18</w:t>
        </w:r>
      </w:hyperlink>
      <w:r w:rsidRPr="005319E3">
        <w:rPr>
          <w:rFonts w:ascii="Segoe UI" w:eastAsia="Times New Roman" w:hAnsi="Segoe UI" w:cs="Segoe UI"/>
          <w:color w:val="000000"/>
          <w:kern w:val="0"/>
          <w:sz w:val="21"/>
          <w:szCs w:val="21"/>
          <w:lang w:eastAsia="es-CO"/>
          <w14:ligatures w14:val="none"/>
        </w:rPr>
        <w:t> (énfasis propio).</w:t>
      </w:r>
    </w:p>
    <w:p w14:paraId="79B2D2DF"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5C509EA9"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Conviene mencionar que la obligatoriedad de la decisión se predica tanto de la </w:t>
      </w:r>
      <w:r w:rsidRPr="005319E3">
        <w:rPr>
          <w:rFonts w:ascii="Segoe UI" w:eastAsia="Times New Roman" w:hAnsi="Segoe UI" w:cs="Segoe UI"/>
          <w:i/>
          <w:iCs/>
          <w:color w:val="000000"/>
          <w:kern w:val="0"/>
          <w:sz w:val="21"/>
          <w:szCs w:val="21"/>
          <w:lang w:eastAsia="es-CO"/>
          <w14:ligatures w14:val="none"/>
        </w:rPr>
        <w:t xml:space="preserve">ratio </w:t>
      </w:r>
      <w:proofErr w:type="spellStart"/>
      <w:r w:rsidRPr="005319E3">
        <w:rPr>
          <w:rFonts w:ascii="Segoe UI" w:eastAsia="Times New Roman" w:hAnsi="Segoe UI" w:cs="Segoe UI"/>
          <w:i/>
          <w:iCs/>
          <w:color w:val="000000"/>
          <w:kern w:val="0"/>
          <w:sz w:val="21"/>
          <w:szCs w:val="21"/>
          <w:lang w:eastAsia="es-CO"/>
          <w14:ligatures w14:val="none"/>
        </w:rPr>
        <w:t>decidendi</w:t>
      </w:r>
      <w:proofErr w:type="spellEnd"/>
      <w:r w:rsidRPr="005319E3">
        <w:rPr>
          <w:rFonts w:ascii="Segoe UI" w:eastAsia="Times New Roman" w:hAnsi="Segoe UI" w:cs="Segoe UI"/>
          <w:color w:val="000000"/>
          <w:kern w:val="0"/>
          <w:sz w:val="21"/>
          <w:szCs w:val="21"/>
          <w:lang w:eastAsia="es-CO"/>
          <w14:ligatures w14:val="none"/>
        </w:rPr>
        <w:t>, como del </w:t>
      </w:r>
      <w:proofErr w:type="spellStart"/>
      <w:r w:rsidRPr="005319E3">
        <w:rPr>
          <w:rFonts w:ascii="Segoe UI" w:eastAsia="Times New Roman" w:hAnsi="Segoe UI" w:cs="Segoe UI"/>
          <w:i/>
          <w:iCs/>
          <w:color w:val="000000"/>
          <w:kern w:val="0"/>
          <w:sz w:val="21"/>
          <w:szCs w:val="21"/>
          <w:lang w:eastAsia="es-CO"/>
          <w14:ligatures w14:val="none"/>
        </w:rPr>
        <w:t>decisum</w:t>
      </w:r>
      <w:proofErr w:type="spellEnd"/>
      <w:r w:rsidRPr="005319E3">
        <w:rPr>
          <w:rFonts w:ascii="Segoe UI" w:eastAsia="Times New Roman" w:hAnsi="Segoe UI" w:cs="Segoe UI"/>
          <w:color w:val="000000"/>
          <w:kern w:val="0"/>
          <w:sz w:val="21"/>
          <w:szCs w:val="21"/>
          <w:lang w:eastAsia="es-CO"/>
          <w14:ligatures w14:val="none"/>
        </w:rPr>
        <w:t> de la sentencia.</w:t>
      </w:r>
      <w:hyperlink r:id="rId36" w:anchor="cite_note-19" w:history="1">
        <w:r w:rsidRPr="005319E3">
          <w:rPr>
            <w:rFonts w:ascii="Segoe UI" w:eastAsia="Times New Roman" w:hAnsi="Segoe UI" w:cs="Segoe UI"/>
            <w:color w:val="0645AD"/>
            <w:kern w:val="0"/>
            <w:sz w:val="21"/>
            <w:szCs w:val="21"/>
            <w:u w:val="single"/>
            <w:vertAlign w:val="superscript"/>
            <w:lang w:eastAsia="es-CO"/>
            <w14:ligatures w14:val="none"/>
          </w:rPr>
          <w:t>19</w:t>
        </w:r>
      </w:hyperlink>
      <w:r w:rsidRPr="005319E3">
        <w:rPr>
          <w:rFonts w:ascii="Segoe UI" w:eastAsia="Times New Roman" w:hAnsi="Segoe UI" w:cs="Segoe UI"/>
          <w:color w:val="000000"/>
          <w:kern w:val="0"/>
          <w:sz w:val="21"/>
          <w:szCs w:val="21"/>
          <w:lang w:eastAsia="es-CO"/>
          <w14:ligatures w14:val="none"/>
        </w:rPr>
        <w:t> De tal forma que, no solo resulta vinculante la decisión consagrada en el «resuelve», sino también «la formulación general del principio, regla o razón general que constituyen la base necesaria de la decisión judicial específica»</w:t>
      </w:r>
      <w:hyperlink r:id="rId37" w:anchor="cite_note-20" w:history="1">
        <w:r w:rsidRPr="005319E3">
          <w:rPr>
            <w:rFonts w:ascii="Segoe UI" w:eastAsia="Times New Roman" w:hAnsi="Segoe UI" w:cs="Segoe UI"/>
            <w:color w:val="0645AD"/>
            <w:kern w:val="0"/>
            <w:sz w:val="21"/>
            <w:szCs w:val="21"/>
            <w:u w:val="single"/>
            <w:vertAlign w:val="superscript"/>
            <w:lang w:eastAsia="es-CO"/>
            <w14:ligatures w14:val="none"/>
          </w:rPr>
          <w:t>20</w:t>
        </w:r>
      </w:hyperlink>
      <w:r w:rsidRPr="005319E3">
        <w:rPr>
          <w:rFonts w:ascii="Segoe UI" w:eastAsia="Times New Roman" w:hAnsi="Segoe UI" w:cs="Segoe UI"/>
          <w:color w:val="000000"/>
          <w:kern w:val="0"/>
          <w:sz w:val="21"/>
          <w:szCs w:val="21"/>
          <w:lang w:eastAsia="es-CO"/>
          <w14:ligatures w14:val="none"/>
        </w:rPr>
        <w:t> y </w:t>
      </w:r>
      <w:hyperlink r:id="rId38" w:anchor="cite_note-21" w:history="1">
        <w:r w:rsidRPr="005319E3">
          <w:rPr>
            <w:rFonts w:ascii="Segoe UI" w:eastAsia="Times New Roman" w:hAnsi="Segoe UI" w:cs="Segoe UI"/>
            <w:color w:val="0645AD"/>
            <w:kern w:val="0"/>
            <w:sz w:val="21"/>
            <w:szCs w:val="21"/>
            <w:u w:val="single"/>
            <w:vertAlign w:val="superscript"/>
            <w:lang w:eastAsia="es-CO"/>
            <w14:ligatures w14:val="none"/>
          </w:rPr>
          <w:t>21</w:t>
        </w:r>
      </w:hyperlink>
    </w:p>
    <w:p w14:paraId="1BE397BB"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0540AEB7"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Conforme a estos preceptos, la administración carecía de facultad interpretativa autónoma para darle un alcance a la norma diferente al expuesto por la Corte Constitucional en su sentencia de control abstracto de constitucionalidad. Para este despacho, la administración tributaria en el oficio objeto de disenso aplicó la decisión de la Corte.</w:t>
      </w:r>
    </w:p>
    <w:p w14:paraId="1D7B446D"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1CFCC7F1"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xml:space="preserve">Ahora bien, la jurisprudencia de la Corte Constitucional ha establecido que la declaratoria de </w:t>
      </w:r>
      <w:proofErr w:type="spellStart"/>
      <w:r w:rsidRPr="005319E3">
        <w:rPr>
          <w:rFonts w:ascii="Segoe UI" w:eastAsia="Times New Roman" w:hAnsi="Segoe UI" w:cs="Segoe UI"/>
          <w:color w:val="000000"/>
          <w:kern w:val="0"/>
          <w:sz w:val="21"/>
          <w:szCs w:val="21"/>
          <w:lang w:eastAsia="es-CO"/>
          <w14:ligatures w14:val="none"/>
        </w:rPr>
        <w:t>inexequibiliad</w:t>
      </w:r>
      <w:proofErr w:type="spellEnd"/>
      <w:r w:rsidRPr="005319E3">
        <w:rPr>
          <w:rFonts w:ascii="Segoe UI" w:eastAsia="Times New Roman" w:hAnsi="Segoe UI" w:cs="Segoe UI"/>
          <w:color w:val="000000"/>
          <w:kern w:val="0"/>
          <w:sz w:val="21"/>
          <w:szCs w:val="21"/>
          <w:lang w:eastAsia="es-CO"/>
          <w14:ligatures w14:val="none"/>
        </w:rPr>
        <w:t xml:space="preserve"> de una disposición tiene efectos hacia el futuro (ex nunc)</w:t>
      </w:r>
      <w:hyperlink r:id="rId39" w:anchor="cite_note-22" w:history="1">
        <w:r w:rsidRPr="005319E3">
          <w:rPr>
            <w:rFonts w:ascii="Segoe UI" w:eastAsia="Times New Roman" w:hAnsi="Segoe UI" w:cs="Segoe UI"/>
            <w:color w:val="0645AD"/>
            <w:kern w:val="0"/>
            <w:sz w:val="21"/>
            <w:szCs w:val="21"/>
            <w:u w:val="single"/>
            <w:vertAlign w:val="superscript"/>
            <w:lang w:eastAsia="es-CO"/>
            <w14:ligatures w14:val="none"/>
          </w:rPr>
          <w:t>22</w:t>
        </w:r>
      </w:hyperlink>
      <w:r w:rsidRPr="005319E3">
        <w:rPr>
          <w:rFonts w:ascii="Segoe UI" w:eastAsia="Times New Roman" w:hAnsi="Segoe UI" w:cs="Segoe UI"/>
          <w:color w:val="000000"/>
          <w:kern w:val="0"/>
          <w:sz w:val="21"/>
          <w:szCs w:val="21"/>
          <w:lang w:eastAsia="es-CO"/>
          <w14:ligatures w14:val="none"/>
        </w:rPr>
        <w:t>, comenzando a surtir sus efectos inmediatamente desde la fecha en que la Corte toma la respectiva decisión, «y no a partir de la fecha en que se suscribe el texto que a ella corresponde o el de su notificación o ejecutoria», salvo que la misma Corte decida modular los efectos temporales de su determinación</w:t>
      </w:r>
      <w:hyperlink r:id="rId40" w:anchor="cite_note-23" w:history="1">
        <w:r w:rsidRPr="005319E3">
          <w:rPr>
            <w:rFonts w:ascii="Segoe UI" w:eastAsia="Times New Roman" w:hAnsi="Segoe UI" w:cs="Segoe UI"/>
            <w:color w:val="0645AD"/>
            <w:kern w:val="0"/>
            <w:sz w:val="21"/>
            <w:szCs w:val="21"/>
            <w:u w:val="single"/>
            <w:vertAlign w:val="superscript"/>
            <w:lang w:eastAsia="es-CO"/>
            <w14:ligatures w14:val="none"/>
          </w:rPr>
          <w:t>23</w:t>
        </w:r>
      </w:hyperlink>
      <w:r w:rsidRPr="005319E3">
        <w:rPr>
          <w:rFonts w:ascii="Segoe UI" w:eastAsia="Times New Roman" w:hAnsi="Segoe UI" w:cs="Segoe UI"/>
          <w:color w:val="000000"/>
          <w:kern w:val="0"/>
          <w:sz w:val="21"/>
          <w:szCs w:val="21"/>
          <w:lang w:eastAsia="es-CO"/>
          <w14:ligatures w14:val="none"/>
        </w:rPr>
        <w:t>. Esta regla de aplicación hacia el futuro y de forma </w:t>
      </w:r>
      <w:r w:rsidRPr="005319E3">
        <w:rPr>
          <w:rFonts w:ascii="Segoe UI" w:eastAsia="Times New Roman" w:hAnsi="Segoe UI" w:cs="Segoe UI"/>
          <w:b/>
          <w:bCs/>
          <w:color w:val="000000"/>
          <w:kern w:val="0"/>
          <w:sz w:val="21"/>
          <w:szCs w:val="21"/>
          <w:lang w:eastAsia="es-CO"/>
          <w14:ligatures w14:val="none"/>
        </w:rPr>
        <w:t>inmediata</w:t>
      </w:r>
      <w:r w:rsidRPr="005319E3">
        <w:rPr>
          <w:rFonts w:ascii="Segoe UI" w:eastAsia="Times New Roman" w:hAnsi="Segoe UI" w:cs="Segoe UI"/>
          <w:color w:val="000000"/>
          <w:kern w:val="0"/>
          <w:sz w:val="21"/>
          <w:szCs w:val="21"/>
          <w:lang w:eastAsia="es-CO"/>
          <w14:ligatures w14:val="none"/>
        </w:rPr>
        <w:t>, encuentra su sustento en los efectos </w:t>
      </w:r>
      <w:r w:rsidRPr="005319E3">
        <w:rPr>
          <w:rFonts w:ascii="Segoe UI" w:eastAsia="Times New Roman" w:hAnsi="Segoe UI" w:cs="Segoe UI"/>
          <w:i/>
          <w:iCs/>
          <w:color w:val="000000"/>
          <w:kern w:val="0"/>
          <w:sz w:val="21"/>
          <w:szCs w:val="21"/>
          <w:lang w:eastAsia="es-CO"/>
          <w14:ligatures w14:val="none"/>
        </w:rPr>
        <w:t>erga omnes</w:t>
      </w:r>
      <w:r w:rsidRPr="005319E3">
        <w:rPr>
          <w:rFonts w:ascii="Segoe UI" w:eastAsia="Times New Roman" w:hAnsi="Segoe UI" w:cs="Segoe UI"/>
          <w:color w:val="000000"/>
          <w:kern w:val="0"/>
          <w:sz w:val="21"/>
          <w:szCs w:val="21"/>
          <w:lang w:eastAsia="es-CO"/>
          <w14:ligatures w14:val="none"/>
        </w:rPr>
        <w:t> predicables de los fallos de constitucionalidad, que «son obligatorios, generales y oponibles a todas las personas, sin excepción de ninguna índole»</w:t>
      </w:r>
      <w:hyperlink r:id="rId41" w:anchor="cite_note-24" w:history="1">
        <w:r w:rsidRPr="005319E3">
          <w:rPr>
            <w:rFonts w:ascii="Segoe UI" w:eastAsia="Times New Roman" w:hAnsi="Segoe UI" w:cs="Segoe UI"/>
            <w:color w:val="0645AD"/>
            <w:kern w:val="0"/>
            <w:sz w:val="21"/>
            <w:szCs w:val="21"/>
            <w:u w:val="single"/>
            <w:vertAlign w:val="superscript"/>
            <w:lang w:eastAsia="es-CO"/>
            <w14:ligatures w14:val="none"/>
          </w:rPr>
          <w:t>24</w:t>
        </w:r>
      </w:hyperlink>
      <w:r w:rsidRPr="005319E3">
        <w:rPr>
          <w:rFonts w:ascii="Segoe UI" w:eastAsia="Times New Roman" w:hAnsi="Segoe UI" w:cs="Segoe UI"/>
          <w:color w:val="000000"/>
          <w:kern w:val="0"/>
          <w:sz w:val="21"/>
          <w:szCs w:val="21"/>
          <w:lang w:eastAsia="es-CO"/>
          <w14:ligatures w14:val="none"/>
        </w:rPr>
        <w:t>.</w:t>
      </w:r>
    </w:p>
    <w:p w14:paraId="288F20D3"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15EB01F1"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lastRenderedPageBreak/>
        <w:t xml:space="preserve">Por lo anterior, la decisión de la Corte de declarar la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xml:space="preserve"> de los numerales 4º y 5º del </w:t>
      </w:r>
      <w:hyperlink r:id="rId42"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lang w:eastAsia="es-CO"/>
          <w14:ligatures w14:val="none"/>
        </w:rPr>
        <w:t> del Estatuto Tributario y los numerales 4º y 5º del parágrafo 4º del </w:t>
      </w:r>
      <w:hyperlink r:id="rId43"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lang w:eastAsia="es-CO"/>
          <w14:ligatures w14:val="none"/>
        </w:rPr>
        <w:t> del Estatuto Tributario, de conformidad con la modificación efectuada por el artículo 44 de la Ley 2277 de 2022, y de la consecuente declaratoria de la reviviscencia del numeral 3º del artículo 42 de la Ley 2155 de 2021, empezó a surtir efectos inmediatos. Por lo tanto, es obligatorio su cumplimiento a partir de la fecha en que se adoptó tal decisión, esto es, el 5 de diciembre de 2023. A partir de esa fecha:</w:t>
      </w:r>
    </w:p>
    <w:p w14:paraId="73B6325F"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2FB74CB7"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(i) Los contribuyentes del SIMPLE del año gravable 2023 que ejercieron actividades de consultoría y servicios científicos donde prevalece el factor intelectual sobre el material, incluyendo profesiones liberales, deberán aplicar la tarifa del artículo 42 de la Ley 2155 de 2021, restablecida por la Corte Constitucional;</w:t>
      </w:r>
    </w:p>
    <w:p w14:paraId="2606D908"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6FC0C57F" w14:textId="77777777" w:rsidR="005319E3" w:rsidRPr="005319E3" w:rsidRDefault="005319E3" w:rsidP="005319E3">
      <w:pPr>
        <w:spacing w:after="0" w:line="240" w:lineRule="auto"/>
        <w:ind w:left="284"/>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w:t>
      </w:r>
      <w:proofErr w:type="spellStart"/>
      <w:r w:rsidRPr="005319E3">
        <w:rPr>
          <w:rFonts w:ascii="Segoe UI" w:eastAsia="Times New Roman" w:hAnsi="Segoe UI" w:cs="Segoe UI"/>
          <w:color w:val="000000"/>
          <w:kern w:val="0"/>
          <w:sz w:val="21"/>
          <w:szCs w:val="21"/>
          <w:lang w:eastAsia="es-CO"/>
          <w14:ligatures w14:val="none"/>
        </w:rPr>
        <w:t>ii</w:t>
      </w:r>
      <w:proofErr w:type="spellEnd"/>
      <w:r w:rsidRPr="005319E3">
        <w:rPr>
          <w:rFonts w:ascii="Segoe UI" w:eastAsia="Times New Roman" w:hAnsi="Segoe UI" w:cs="Segoe UI"/>
          <w:color w:val="000000"/>
          <w:kern w:val="0"/>
          <w:sz w:val="21"/>
          <w:szCs w:val="21"/>
          <w:lang w:eastAsia="es-CO"/>
          <w14:ligatures w14:val="none"/>
        </w:rPr>
        <w:t>) Los contribuyentes del SIMPLE del año gravable 2023 que se dedicaron a la educación, atención de la salud humana y asistencia social no pueden usar la tarifa previamente declarada inexequible (numeral 4 del </w:t>
      </w:r>
      <w:hyperlink r:id="rId44"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lang w:eastAsia="es-CO"/>
          <w14:ligatures w14:val="none"/>
        </w:rPr>
        <w:t> del Estatuto Tributario, modificado por el artículo 44 de la Ley 2277 de 2022). En su lugar, deberán aplicar la tarifa del numeral 3 del artículo 42 de la Ley 2155 de 2021, revivida por la Corte Constitucional.</w:t>
      </w:r>
    </w:p>
    <w:p w14:paraId="51657ED0"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3DBEDE22"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Sobre el particular, mediante Auto No. 542 de 2024 la Corte resolvió la solicitud de aclaración presentada por las partes, respecto al momento y la forma como la sentencia C-540 de 2023 debía surtir sus efectos. Sin embargo, para la Corte estos asuntos «no evidencian, siquiera mínimamente, algún aspecto confuso de la decisión»</w:t>
      </w:r>
      <w:hyperlink r:id="rId45" w:anchor="cite_note-25" w:history="1">
        <w:r w:rsidRPr="005319E3">
          <w:rPr>
            <w:rFonts w:ascii="Segoe UI" w:eastAsia="Times New Roman" w:hAnsi="Segoe UI" w:cs="Segoe UI"/>
            <w:color w:val="0645AD"/>
            <w:kern w:val="0"/>
            <w:sz w:val="21"/>
            <w:szCs w:val="21"/>
            <w:u w:val="single"/>
            <w:vertAlign w:val="superscript"/>
            <w:lang w:eastAsia="es-CO"/>
            <w14:ligatures w14:val="none"/>
          </w:rPr>
          <w:t>25</w:t>
        </w:r>
      </w:hyperlink>
      <w:r w:rsidRPr="005319E3">
        <w:rPr>
          <w:rFonts w:ascii="Segoe UI" w:eastAsia="Times New Roman" w:hAnsi="Segoe UI" w:cs="Segoe UI"/>
          <w:color w:val="000000"/>
          <w:kern w:val="0"/>
          <w:sz w:val="21"/>
          <w:szCs w:val="21"/>
          <w:lang w:eastAsia="es-CO"/>
          <w14:ligatures w14:val="none"/>
        </w:rPr>
        <w:t>. En ese sentido, concluye la Corte que estas cuestiones de aplicación de la sentencia escapan a su competencia constitucional.</w:t>
      </w:r>
    </w:p>
    <w:p w14:paraId="5E5C9FC2"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2269B46A"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De acuerdo con esto, sugerir -como en efecto lo hacen los peticionarios- que los contribuyentes afectados con la decisión deben poder liquidar sus obligaciones tributarias bajo la tarifa declarada inexequible por ser más favorable a sus intereses, mientras que los demás deben aplicar la norma revivida, no solo va en contra de la decisión de la Corte, sino también de los fundamentos que la respaldaron. Además, implica que el intérprete otorgue un trato favorable que es prohibido para asuntos como el que se analiza</w:t>
      </w:r>
      <w:hyperlink r:id="rId46" w:anchor="cite_note-26" w:history="1">
        <w:r w:rsidRPr="005319E3">
          <w:rPr>
            <w:rFonts w:ascii="Segoe UI" w:eastAsia="Times New Roman" w:hAnsi="Segoe UI" w:cs="Segoe UI"/>
            <w:color w:val="0645AD"/>
            <w:kern w:val="0"/>
            <w:sz w:val="21"/>
            <w:szCs w:val="21"/>
            <w:u w:val="single"/>
            <w:vertAlign w:val="superscript"/>
            <w:lang w:eastAsia="es-CO"/>
            <w14:ligatures w14:val="none"/>
          </w:rPr>
          <w:t>26</w:t>
        </w:r>
      </w:hyperlink>
      <w:r w:rsidRPr="005319E3">
        <w:rPr>
          <w:rFonts w:ascii="Segoe UI" w:eastAsia="Times New Roman" w:hAnsi="Segoe UI" w:cs="Segoe UI"/>
          <w:color w:val="000000"/>
          <w:kern w:val="0"/>
          <w:sz w:val="21"/>
          <w:szCs w:val="21"/>
          <w:lang w:eastAsia="es-CO"/>
          <w14:ligatures w14:val="none"/>
        </w:rPr>
        <w:t>.</w:t>
      </w:r>
    </w:p>
    <w:p w14:paraId="4C3AFF4E"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0E61210A"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xml:space="preserve">Por esta razón, la conclusión más plausible era la de la aplicación inmediata de la norma revivida, y no la aplicación por favorabilidad de la norma inexequible. Esto cobra mayor relevancia dado que, para el momento en que se tomó la decisión de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aún no se había completado el período fiscal para la presentación de la declaración anual consolidada del impuesto unificado bajo el Régimen Simple de Tributación - SIMPLE. Según el </w:t>
      </w:r>
      <w:hyperlink r:id="rId47" w:tooltip="Estatuto Tributario CETA" w:history="1">
        <w:r w:rsidRPr="005319E3">
          <w:rPr>
            <w:rFonts w:ascii="Segoe UI" w:eastAsia="Times New Roman" w:hAnsi="Segoe UI" w:cs="Segoe UI"/>
            <w:color w:val="0645AD"/>
            <w:kern w:val="0"/>
            <w:sz w:val="21"/>
            <w:szCs w:val="21"/>
            <w:u w:val="single"/>
            <w:lang w:eastAsia="es-CO"/>
            <w14:ligatures w14:val="none"/>
          </w:rPr>
          <w:t>artículo 908</w:t>
        </w:r>
      </w:hyperlink>
      <w:r w:rsidRPr="005319E3">
        <w:rPr>
          <w:rFonts w:ascii="Segoe UI" w:eastAsia="Times New Roman" w:hAnsi="Segoe UI" w:cs="Segoe UI"/>
          <w:color w:val="000000"/>
          <w:kern w:val="0"/>
          <w:sz w:val="21"/>
          <w:szCs w:val="21"/>
          <w:lang w:eastAsia="es-CO"/>
          <w14:ligatures w14:val="none"/>
        </w:rPr>
        <w:t> del Estatuto Tributario, dicha declaración debe presentarse dentro de los plazos establecidos por el Gobierno nacional</w:t>
      </w:r>
      <w:hyperlink r:id="rId48" w:anchor="cite_note-27" w:history="1">
        <w:r w:rsidRPr="005319E3">
          <w:rPr>
            <w:rFonts w:ascii="Segoe UI" w:eastAsia="Times New Roman" w:hAnsi="Segoe UI" w:cs="Segoe UI"/>
            <w:color w:val="0645AD"/>
            <w:kern w:val="0"/>
            <w:sz w:val="21"/>
            <w:szCs w:val="21"/>
            <w:u w:val="single"/>
            <w:vertAlign w:val="superscript"/>
            <w:lang w:eastAsia="es-CO"/>
            <w14:ligatures w14:val="none"/>
          </w:rPr>
          <w:t>27</w:t>
        </w:r>
      </w:hyperlink>
      <w:r w:rsidRPr="005319E3">
        <w:rPr>
          <w:rFonts w:ascii="Segoe UI" w:eastAsia="Times New Roman" w:hAnsi="Segoe UI" w:cs="Segoe UI"/>
          <w:color w:val="000000"/>
          <w:kern w:val="0"/>
          <w:sz w:val="21"/>
          <w:szCs w:val="21"/>
          <w:lang w:eastAsia="es-CO"/>
          <w14:ligatures w14:val="none"/>
        </w:rPr>
        <w:t>, los cuales para este régimen estaban programados para el mes de abril de 2024.</w:t>
      </w:r>
    </w:p>
    <w:p w14:paraId="3F3D3DF8"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2B7F3BEC"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Lo anterior, refuerza la conclusión de que la tarifa que debía ser aplicada a la base gravable en la declaración del año 2024, para determinar el valor final en dinero que debía pagar el contribuyente para el período fiscal 2023, es la revivida por la Corte y no la declarada inexequible, puesto que esta última ya no hacía parte del ordenamiento jurídico colombiano</w:t>
      </w:r>
      <w:hyperlink r:id="rId49" w:anchor="cite_note-28" w:history="1">
        <w:r w:rsidRPr="005319E3">
          <w:rPr>
            <w:rFonts w:ascii="Segoe UI" w:eastAsia="Times New Roman" w:hAnsi="Segoe UI" w:cs="Segoe UI"/>
            <w:color w:val="0645AD"/>
            <w:kern w:val="0"/>
            <w:sz w:val="21"/>
            <w:szCs w:val="21"/>
            <w:u w:val="single"/>
            <w:vertAlign w:val="superscript"/>
            <w:lang w:eastAsia="es-CO"/>
            <w14:ligatures w14:val="none"/>
          </w:rPr>
          <w:t>28</w:t>
        </w:r>
      </w:hyperlink>
      <w:r w:rsidRPr="005319E3">
        <w:rPr>
          <w:rFonts w:ascii="Segoe UI" w:eastAsia="Times New Roman" w:hAnsi="Segoe UI" w:cs="Segoe UI"/>
          <w:color w:val="000000"/>
          <w:kern w:val="0"/>
          <w:sz w:val="21"/>
          <w:szCs w:val="21"/>
          <w:lang w:eastAsia="es-CO"/>
          <w14:ligatures w14:val="none"/>
        </w:rPr>
        <w:t>.</w:t>
      </w:r>
    </w:p>
    <w:p w14:paraId="4B2A84A1"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392F01A9"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En conclusión, en virtud de las disposiciones previamente analizadas, este Despacho considera que la interpretación del punto 2.3 del oficio 100208192-154 de 2024 concuerda con la decisión adoptada por la Corte Constitucional en la sentencia C-540 de 2023. En consecuencia, se </w:t>
      </w:r>
      <w:r w:rsidRPr="005319E3">
        <w:rPr>
          <w:rFonts w:ascii="Segoe UI" w:eastAsia="Times New Roman" w:hAnsi="Segoe UI" w:cs="Segoe UI"/>
          <w:b/>
          <w:bCs/>
          <w:color w:val="000000"/>
          <w:kern w:val="0"/>
          <w:sz w:val="21"/>
          <w:szCs w:val="21"/>
          <w:lang w:eastAsia="es-CO"/>
          <w14:ligatures w14:val="none"/>
        </w:rPr>
        <w:t>CONFIRMA </w:t>
      </w:r>
      <w:r w:rsidRPr="005319E3">
        <w:rPr>
          <w:rFonts w:ascii="Segoe UI" w:eastAsia="Times New Roman" w:hAnsi="Segoe UI" w:cs="Segoe UI"/>
          <w:color w:val="000000"/>
          <w:kern w:val="0"/>
          <w:sz w:val="21"/>
          <w:szCs w:val="21"/>
          <w:lang w:eastAsia="es-CO"/>
          <w14:ligatures w14:val="none"/>
        </w:rPr>
        <w:t>el contenido del punto 2.3 del Oficio No. 100208192-154 emitido el 5 de marzo de 2024.</w:t>
      </w:r>
    </w:p>
    <w:p w14:paraId="61A56CA9" w14:textId="77777777" w:rsidR="005319E3" w:rsidRDefault="005319E3" w:rsidP="005319E3">
      <w:pPr>
        <w:pStyle w:val="NormalWeb"/>
        <w:spacing w:before="0" w:beforeAutospacing="0" w:after="0" w:afterAutospacing="0"/>
        <w:jc w:val="both"/>
        <w:rPr>
          <w:rFonts w:ascii="Segoe UI" w:hAnsi="Segoe UI" w:cs="Segoe UI"/>
          <w:color w:val="000000"/>
          <w:sz w:val="21"/>
          <w:szCs w:val="21"/>
        </w:rPr>
      </w:pPr>
    </w:p>
    <w:p w14:paraId="48771B58" w14:textId="222E349F" w:rsidR="005319E3" w:rsidRDefault="005319E3" w:rsidP="005319E3">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los anteriores términos se absuelve su petición y se recuerda que la normativa, jurisprudencia y doctrina en materia tributaria, aduanera y de fiscalización cambiaria, en lo de competencia de esta Entidad, puede consultarse en el normograma DIAN: </w:t>
      </w:r>
      <w:hyperlink r:id="rId50" w:tgtFrame="_blank" w:history="1">
        <w:r>
          <w:rPr>
            <w:rStyle w:val="Hipervnculo"/>
            <w:rFonts w:ascii="Segoe UI" w:eastAsiaTheme="majorEastAsia" w:hAnsi="Segoe UI" w:cs="Segoe UI"/>
            <w:color w:val="0645AD"/>
            <w:sz w:val="21"/>
            <w:szCs w:val="21"/>
          </w:rPr>
          <w:t>https://normograma.dian.gov.co/dian/</w:t>
        </w:r>
      </w:hyperlink>
      <w:r>
        <w:rPr>
          <w:rFonts w:ascii="Segoe UI" w:hAnsi="Segoe UI" w:cs="Segoe UI"/>
          <w:color w:val="000000"/>
          <w:sz w:val="21"/>
          <w:szCs w:val="21"/>
        </w:rPr>
        <w:t>.</w:t>
      </w:r>
    </w:p>
    <w:p w14:paraId="1C60D67D" w14:textId="77777777" w:rsidR="005319E3" w:rsidRDefault="005319E3" w:rsidP="005319E3">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A1132E1" w14:textId="77777777" w:rsidR="005319E3" w:rsidRDefault="005319E3" w:rsidP="005319E3">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Atentamente,</w:t>
      </w:r>
    </w:p>
    <w:p w14:paraId="10D9C7CB" w14:textId="77777777" w:rsidR="005319E3" w:rsidRDefault="005319E3" w:rsidP="005319E3">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CFA7FB8" w14:textId="6532F9B1"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b/>
          <w:bCs/>
          <w:color w:val="000000"/>
          <w:kern w:val="0"/>
          <w:sz w:val="21"/>
          <w:szCs w:val="21"/>
          <w:lang w:eastAsia="es-CO"/>
          <w14:ligatures w14:val="none"/>
        </w:rPr>
        <w:t>GUSTAVO ALFREDO PERALTA FIGUEREDO</w:t>
      </w:r>
    </w:p>
    <w:p w14:paraId="4102A317"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Director de Gestión Jurídica</w:t>
      </w:r>
    </w:p>
    <w:p w14:paraId="1D377CC1"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Dirección de Gestión Jurídica</w:t>
      </w:r>
    </w:p>
    <w:p w14:paraId="74B9B1F4"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lastRenderedPageBreak/>
        <w:t>UAE-Dirección de Impuestos y Aduanas Nacionales</w:t>
      </w:r>
    </w:p>
    <w:p w14:paraId="12ECE68A" w14:textId="77777777" w:rsidR="005319E3" w:rsidRPr="005319E3" w:rsidRDefault="005319E3" w:rsidP="005319E3">
      <w:pPr>
        <w:spacing w:after="0" w:line="240" w:lineRule="auto"/>
        <w:jc w:val="both"/>
        <w:rPr>
          <w:rFonts w:ascii="Segoe UI" w:eastAsia="Times New Roman" w:hAnsi="Segoe UI" w:cs="Segoe UI"/>
          <w:color w:val="000000"/>
          <w:kern w:val="0"/>
          <w:sz w:val="21"/>
          <w:szCs w:val="21"/>
          <w:lang w:eastAsia="es-CO"/>
          <w14:ligatures w14:val="none"/>
        </w:rPr>
      </w:pPr>
      <w:r w:rsidRPr="005319E3">
        <w:rPr>
          <w:rFonts w:ascii="Segoe UI" w:eastAsia="Times New Roman" w:hAnsi="Segoe UI" w:cs="Segoe UI"/>
          <w:color w:val="000000"/>
          <w:kern w:val="0"/>
          <w:sz w:val="21"/>
          <w:szCs w:val="21"/>
          <w:lang w:eastAsia="es-CO"/>
          <w14:ligatures w14:val="none"/>
        </w:rPr>
        <w:t> </w:t>
      </w:r>
    </w:p>
    <w:p w14:paraId="2554EA37" w14:textId="77777777" w:rsidR="005319E3" w:rsidRPr="005319E3" w:rsidRDefault="005319E3" w:rsidP="005319E3">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5319E3">
        <w:rPr>
          <w:rFonts w:ascii="Segoe UI" w:eastAsia="Times New Roman" w:hAnsi="Segoe UI" w:cs="Segoe UI"/>
          <w:b/>
          <w:bCs/>
          <w:color w:val="000000"/>
          <w:kern w:val="0"/>
          <w:sz w:val="21"/>
          <w:szCs w:val="21"/>
          <w:lang w:eastAsia="es-CO"/>
          <w14:ligatures w14:val="none"/>
        </w:rPr>
        <w:t>Notas al pie</w:t>
      </w:r>
    </w:p>
    <w:p w14:paraId="3872BC8C" w14:textId="66F1A808" w:rsidR="005319E3" w:rsidRPr="005319E3" w:rsidRDefault="005319E3" w:rsidP="005319E3">
      <w:pPr>
        <w:spacing w:after="0" w:line="240" w:lineRule="auto"/>
        <w:rPr>
          <w:rFonts w:ascii="Segoe UI" w:eastAsia="Times New Roman" w:hAnsi="Segoe UI" w:cs="Segoe UI"/>
          <w:kern w:val="0"/>
          <w:sz w:val="21"/>
          <w:szCs w:val="21"/>
          <w:lang w:eastAsia="es-CO"/>
          <w14:ligatures w14:val="none"/>
        </w:rPr>
      </w:pPr>
      <w:r>
        <w:rPr>
          <w:rFonts w:eastAsia="Times New Roman" w:cs="Times New Roman"/>
          <w:kern w:val="0"/>
          <w:szCs w:val="24"/>
          <w:lang w:eastAsia="es-CO"/>
          <w14:ligatures w14:val="none"/>
        </w:rPr>
        <w:t>__________________________________________</w:t>
      </w:r>
    </w:p>
    <w:p w14:paraId="24B823D9"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51" w:anchor="cite_ref-1"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Mencionado en la consulta como el concepto No. 100208192-154 del 5 de marzo de 2024</w:t>
      </w:r>
    </w:p>
    <w:p w14:paraId="4743FF44"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52" w:anchor="cite_ref-2"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De manera particular lo expuesto en el numeral 2.3. relacionado con la tarifa aplicable para el año gravable 2023</w:t>
      </w:r>
    </w:p>
    <w:p w14:paraId="16A4BFD4"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53" w:anchor="cite_ref-3"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Las correspondientes demandas se identificaron en la corte bajo los expedientes D-15211 y D-15217</w:t>
      </w:r>
    </w:p>
    <w:p w14:paraId="495FDF9D"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54" w:anchor="cite_ref-4"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«Por medio de la cual se adopta una reforma tributaria para la igualdad y la justicia social y se dictan otras disposiciones»</w:t>
      </w:r>
    </w:p>
    <w:p w14:paraId="7E125B54"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55" w:anchor="cite_ref-5"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Para la Corte, los criterios (estructura de costos y la relevancia social de las profesiones liberales) usados para diferenciar a los grupos (en específico 4 y 5) en el SIMPLE carecía de fundamentos adecuados. Esto debido a que resultaba difícil establecer un criterio claro que permitiera diferenciar de manera justificada a los contribuyentes clasificados en los dos grupos (3 y 4). Específicamente, al imponer requisitos más estrictos para ciertas actividades profesionales, como consultoría y servicios científicos, en comparación con otras actividades como educación o salud, sin una justificación suficiente, se creaba un trato tributario injusto y desproporcionado. Esto violaba el derecho a la igualdad de aquellos involucrados en estas actividades económicas.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C-540, dic. 05/23. Considerando 104.</w:t>
      </w:r>
    </w:p>
    <w:p w14:paraId="2146A8CB"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val="en-US" w:eastAsia="es-CO"/>
          <w14:ligatures w14:val="none"/>
        </w:rPr>
      </w:pPr>
      <w:hyperlink r:id="rId56" w:anchor="cite_ref-6"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C-113 de 2022.</w:t>
      </w:r>
    </w:p>
    <w:p w14:paraId="2EC63037"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57" w:anchor="cite_ref-7"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entre otras,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C-286 de 2014, C-420 de 2010 y C-394 de 2020</w:t>
      </w:r>
    </w:p>
    <w:p w14:paraId="043477DD"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58" w:anchor="cite_ref-8"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Así, la reincorporación al ordenamiento jurídico de las disposiciones derogadas por las normas declaradas inexequibles «solo tendrá lugar “cuando ello sea necesario para garantizar la integridad y supremacía de la Carta”. En esa medida la automaticidad de la reviviscencia es condicionada, pues previamente se deberá hacer un juicio sobre la necesidad de </w:t>
      </w:r>
      <w:proofErr w:type="gramStart"/>
      <w:r w:rsidRPr="005319E3">
        <w:rPr>
          <w:rFonts w:ascii="Segoe UI" w:eastAsia="Times New Roman" w:hAnsi="Segoe UI" w:cs="Segoe UI"/>
          <w:color w:val="000000"/>
          <w:kern w:val="0"/>
          <w:sz w:val="21"/>
          <w:szCs w:val="21"/>
          <w:lang w:eastAsia="es-CO"/>
          <w14:ligatures w14:val="none"/>
        </w:rPr>
        <w:t>la misma</w:t>
      </w:r>
      <w:proofErr w:type="gramEnd"/>
      <w:r w:rsidRPr="005319E3">
        <w:rPr>
          <w:rFonts w:ascii="Segoe UI" w:eastAsia="Times New Roman" w:hAnsi="Segoe UI" w:cs="Segoe UI"/>
          <w:color w:val="000000"/>
          <w:kern w:val="0"/>
          <w:sz w:val="21"/>
          <w:szCs w:val="21"/>
          <w:lang w:eastAsia="es-CO"/>
          <w14:ligatures w14:val="none"/>
        </w:rPr>
        <w:t xml:space="preserve"> para preservar la integridad y supremacía de la Constitución».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C-402 de 2010.</w:t>
      </w:r>
    </w:p>
    <w:p w14:paraId="6BE71081"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59" w:anchor="cite_ref-9"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w:t>
      </w:r>
      <w:proofErr w:type="spellStart"/>
      <w:r w:rsidRPr="005319E3">
        <w:rPr>
          <w:rFonts w:ascii="Segoe UI" w:eastAsia="Times New Roman" w:hAnsi="Segoe UI" w:cs="Segoe UI"/>
          <w:color w:val="000000"/>
          <w:kern w:val="0"/>
          <w:sz w:val="21"/>
          <w:szCs w:val="21"/>
          <w:lang w:eastAsia="es-CO"/>
          <w14:ligatures w14:val="none"/>
        </w:rPr>
        <w:t>iii</w:t>
      </w:r>
      <w:proofErr w:type="spellEnd"/>
      <w:r w:rsidRPr="005319E3">
        <w:rPr>
          <w:rFonts w:ascii="Segoe UI" w:eastAsia="Times New Roman" w:hAnsi="Segoe UI" w:cs="Segoe UI"/>
          <w:color w:val="000000"/>
          <w:kern w:val="0"/>
          <w:sz w:val="21"/>
          <w:szCs w:val="21"/>
          <w:lang w:eastAsia="es-CO"/>
          <w14:ligatures w14:val="none"/>
        </w:rPr>
        <w:t>) En relación con la oportunidad para declarar o, mejor aún, reconocer la reviviscencia de las disposiciones señaladas, la Corte Constitucional no ha establecido la obligación de hacerlo en un momento determinado, y solo ha recomendado efectuar dicha declaratoria en la sentencia con la cual se declara inexequible una norma que haya derogado expresa o tácitamente otra». Cfr. C. E., Sala de Consulta y Servicio Civil, Concepto 2243 de 2015.</w:t>
      </w:r>
    </w:p>
    <w:p w14:paraId="1A71200C"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val="en-US" w:eastAsia="es-CO"/>
          <w14:ligatures w14:val="none"/>
        </w:rPr>
      </w:pPr>
      <w:hyperlink r:id="rId60" w:anchor="cite_ref-10"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C-402 de 2010.</w:t>
      </w:r>
    </w:p>
    <w:p w14:paraId="00E73784"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61" w:anchor="cite_ref-11"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Así mismo, la Sentencia C-286 de 2014 determinó que debían concurrir las siguientes condiciones: «(a) creación de vacíos normativos; (b) vulneraciones a los derechos fundamentales; (c) necesidad para garantizar la supremacía de la Constitución Política, y (d) siempre y cuando las normas reincorporadas sean constitucionalmente admisibles».</w:t>
      </w:r>
    </w:p>
    <w:p w14:paraId="41497D8C"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val="en-US" w:eastAsia="es-CO"/>
          <w14:ligatures w14:val="none"/>
        </w:rPr>
      </w:pPr>
      <w:hyperlink r:id="rId62" w:anchor="cite_ref-12"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C-540 de 2023.</w:t>
      </w:r>
    </w:p>
    <w:p w14:paraId="3B623F59"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63" w:anchor="cite_ref-13"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C-539 de 2011, considerando 5.1.</w:t>
      </w:r>
    </w:p>
    <w:p w14:paraId="43251651"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64" w:anchor="cite_ref-14"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Cuando la Corte Constitucional interpreta la constitución, entre aquellas «no puede interponerse ni una hoja de papel».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C-113 de 1993.</w:t>
      </w:r>
    </w:p>
    <w:p w14:paraId="00D60B3B"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65" w:anchor="cite_ref-15"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En cuanto a los efectos de los fallos de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xml:space="preserve">, la Corte ha señalado que estos hacen tránsito a cosa juzgada constitucional, conforme el artículo 243 de la Constitución Política, y por lo tanto ninguna autoridad podrá reproducir el contenido material del acto jurídico declarado inexequible por razones de fondo, so pena de una violación directa de la Constitución.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C-335 de 2008 y T-355 de 2007.</w:t>
      </w:r>
    </w:p>
    <w:p w14:paraId="2E7975D4"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66" w:anchor="cite_ref-16"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SU-1122 de 2001.</w:t>
      </w:r>
    </w:p>
    <w:p w14:paraId="04AA23FB"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val="en-US" w:eastAsia="es-CO"/>
          <w14:ligatures w14:val="none"/>
        </w:rPr>
      </w:pPr>
      <w:hyperlink r:id="rId67" w:anchor="cite_ref-17"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T-116 de 2004.</w:t>
      </w:r>
    </w:p>
    <w:p w14:paraId="0E330A9F"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val="en-US" w:eastAsia="es-CO"/>
          <w14:ligatures w14:val="none"/>
        </w:rPr>
      </w:pPr>
      <w:hyperlink r:id="rId68" w:anchor="cite_ref-18"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C-335 de 2008.</w:t>
      </w:r>
    </w:p>
    <w:p w14:paraId="572B3AF5" w14:textId="77777777" w:rsidR="005319E3" w:rsidRPr="005319E3" w:rsidRDefault="005319E3" w:rsidP="005319E3">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69" w:anchor="cite_ref-19"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“Estos conceptos son formulados de distinta manera y con lenguajes diversos por los autores, lo cual ha generado a veces agudas discusiones conceptuales. Sin embargo, su sentido esencial es relativamente claro: Así, el </w:t>
      </w:r>
      <w:proofErr w:type="spellStart"/>
      <w:r w:rsidRPr="005319E3">
        <w:rPr>
          <w:rFonts w:ascii="Segoe UI" w:eastAsia="Times New Roman" w:hAnsi="Segoe UI" w:cs="Segoe UI"/>
          <w:color w:val="000000"/>
          <w:kern w:val="0"/>
          <w:sz w:val="21"/>
          <w:szCs w:val="21"/>
          <w:lang w:eastAsia="es-CO"/>
          <w14:ligatures w14:val="none"/>
        </w:rPr>
        <w:t>decisum</w:t>
      </w:r>
      <w:proofErr w:type="spellEnd"/>
      <w:r w:rsidRPr="005319E3">
        <w:rPr>
          <w:rFonts w:ascii="Segoe UI" w:eastAsia="Times New Roman" w:hAnsi="Segoe UI" w:cs="Segoe UI"/>
          <w:color w:val="000000"/>
          <w:kern w:val="0"/>
          <w:sz w:val="21"/>
          <w:szCs w:val="21"/>
          <w:lang w:eastAsia="es-CO"/>
          <w14:ligatures w14:val="none"/>
        </w:rPr>
        <w:t xml:space="preserve"> es la resolución concreta del caso, esto es, la determinación específica de si el acusado es o no culpable en materia penal, si el demandado debe o no responder en materia civil, si al peticionario el juez le tutela o no su derecho, si la disposición acusada es o no retirada del ordenamiento, etc. Por su parte, la ratio </w:t>
      </w:r>
      <w:proofErr w:type="spellStart"/>
      <w:r w:rsidRPr="005319E3">
        <w:rPr>
          <w:rFonts w:ascii="Segoe UI" w:eastAsia="Times New Roman" w:hAnsi="Segoe UI" w:cs="Segoe UI"/>
          <w:color w:val="000000"/>
          <w:kern w:val="0"/>
          <w:sz w:val="21"/>
          <w:szCs w:val="21"/>
          <w:lang w:eastAsia="es-CO"/>
          <w14:ligatures w14:val="none"/>
        </w:rPr>
        <w:t>decidendi</w:t>
      </w:r>
      <w:proofErr w:type="spellEnd"/>
      <w:r w:rsidRPr="005319E3">
        <w:rPr>
          <w:rFonts w:ascii="Segoe UI" w:eastAsia="Times New Roman" w:hAnsi="Segoe UI" w:cs="Segoe UI"/>
          <w:color w:val="000000"/>
          <w:kern w:val="0"/>
          <w:sz w:val="21"/>
          <w:szCs w:val="21"/>
          <w:lang w:eastAsia="es-CO"/>
          <w14:ligatures w14:val="none"/>
        </w:rPr>
        <w:t xml:space="preserve"> es la formulación general, más allá de las particularidades irrelevantes del caso, del principio, regla </w:t>
      </w:r>
      <w:r w:rsidRPr="005319E3">
        <w:rPr>
          <w:rFonts w:ascii="Segoe UI" w:eastAsia="Times New Roman" w:hAnsi="Segoe UI" w:cs="Segoe UI"/>
          <w:color w:val="000000"/>
          <w:kern w:val="0"/>
          <w:sz w:val="21"/>
          <w:szCs w:val="21"/>
          <w:lang w:eastAsia="es-CO"/>
          <w14:ligatures w14:val="none"/>
        </w:rPr>
        <w:lastRenderedPageBreak/>
        <w:t xml:space="preserve">o razón general que constituyen la base de la decisión judicial específica. Es, si se quiere, el fundamento normativo directo de la parte resolutiva. En cambio, constituye un mero </w:t>
      </w:r>
      <w:proofErr w:type="spellStart"/>
      <w:r w:rsidRPr="005319E3">
        <w:rPr>
          <w:rFonts w:ascii="Segoe UI" w:eastAsia="Times New Roman" w:hAnsi="Segoe UI" w:cs="Segoe UI"/>
          <w:color w:val="000000"/>
          <w:kern w:val="0"/>
          <w:sz w:val="21"/>
          <w:szCs w:val="21"/>
          <w:lang w:eastAsia="es-CO"/>
          <w14:ligatures w14:val="none"/>
        </w:rPr>
        <w:t>dictum</w:t>
      </w:r>
      <w:proofErr w:type="spellEnd"/>
      <w:r w:rsidRPr="005319E3">
        <w:rPr>
          <w:rFonts w:ascii="Segoe UI" w:eastAsia="Times New Roman" w:hAnsi="Segoe UI" w:cs="Segoe UI"/>
          <w:color w:val="000000"/>
          <w:kern w:val="0"/>
          <w:sz w:val="21"/>
          <w:szCs w:val="21"/>
          <w:lang w:eastAsia="es-CO"/>
          <w14:ligatures w14:val="none"/>
        </w:rPr>
        <w:t>, toda aquella reflexión adelantada por el juez al motivar su fallo, pero que no es necesaria a la decisión, por lo cual son opiniones más o menos incidentales en la argumentación del funcionario. Cfr. SU-047 de 1999.</w:t>
      </w:r>
    </w:p>
    <w:p w14:paraId="0D671D0B" w14:textId="77777777" w:rsidR="005319E3" w:rsidRDefault="005319E3"/>
    <w:p w14:paraId="591DF6CF" w14:textId="77777777" w:rsidR="005319E3" w:rsidRDefault="005319E3"/>
    <w:p w14:paraId="21C5F192" w14:textId="77777777" w:rsidR="005319E3" w:rsidRDefault="005319E3"/>
    <w:p w14:paraId="0FDFCC8A" w14:textId="77777777" w:rsidR="005319E3" w:rsidRDefault="005319E3"/>
    <w:p w14:paraId="527E72FE" w14:textId="77777777" w:rsidR="005319E3" w:rsidRDefault="005319E3"/>
    <w:p w14:paraId="3B754EE9" w14:textId="77777777" w:rsidR="005319E3" w:rsidRDefault="005319E3"/>
    <w:p w14:paraId="4FBFC7F8" w14:textId="77777777" w:rsidR="005319E3" w:rsidRPr="005319E3" w:rsidRDefault="005319E3" w:rsidP="005319E3">
      <w:pPr>
        <w:spacing w:after="0" w:line="240" w:lineRule="auto"/>
        <w:rPr>
          <w:rFonts w:ascii="Segoe UI" w:eastAsia="Times New Roman" w:hAnsi="Segoe UI" w:cs="Segoe UI"/>
          <w:kern w:val="0"/>
          <w:sz w:val="21"/>
          <w:szCs w:val="21"/>
          <w:lang w:eastAsia="es-CO"/>
          <w14:ligatures w14:val="none"/>
        </w:rPr>
      </w:pPr>
      <w:r w:rsidRPr="005319E3">
        <w:rPr>
          <w:rFonts w:eastAsia="Times New Roman" w:cs="Times New Roman"/>
          <w:kern w:val="0"/>
          <w:szCs w:val="24"/>
          <w:lang w:eastAsia="es-CO"/>
          <w14:ligatures w14:val="none"/>
        </w:rPr>
        <w:pict w14:anchorId="56CE9F3D">
          <v:rect id="_x0000_i1025" style="width:0;height:1.5pt" o:hralign="left" o:hrstd="t" o:hrnoshade="t" o:hr="t" fillcolor="black" stroked="f"/>
        </w:pict>
      </w:r>
    </w:p>
    <w:p w14:paraId="0B6742A6"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0" w:anchor="cite_ref-1"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Mencionado en la consulta como el concepto No. 100208192-154 del 5 de marzo de 2024</w:t>
      </w:r>
    </w:p>
    <w:p w14:paraId="13748DB5"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1" w:anchor="cite_ref-2"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De manera particular lo expuesto en el numeral 2.3. relacionado con la tarifa aplicable para el año gravable 2023</w:t>
      </w:r>
    </w:p>
    <w:p w14:paraId="796D2374"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2" w:anchor="cite_ref-3"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Las correspondientes demandas se identificaron en la corte bajo los expedientes D-15211 y D-15217</w:t>
      </w:r>
    </w:p>
    <w:p w14:paraId="6AF61D03"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3" w:anchor="cite_ref-4"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«Por medio de la cual se adopta una reforma tributaria para la igualdad y la justicia social y se dictan otras disposiciones»</w:t>
      </w:r>
    </w:p>
    <w:p w14:paraId="7EC3F04D"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4" w:anchor="cite_ref-5"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Para la Corte, los criterios (estructura de costos y la relevancia social de las profesiones liberales) usados para diferenciar a los grupos (en específico 4 y 5) en el SIMPLE carecía de fundamentos adecuados. Esto debido a que resultaba difícil establecer un criterio claro que permitiera diferenciar de manera justificada a los contribuyentes clasificados en los dos grupos (3 y 4). Específicamente, al imponer requisitos más estrictos para ciertas actividades profesionales, como consultoría y servicios científicos, en comparación con otras actividades como educación o salud, sin una justificación suficiente, se creaba un trato tributario injusto y desproporcionado. Esto violaba el derecho a la igualdad de aquellos involucrados en estas actividades económicas.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C-540, dic. 05/23. Considerando 104.</w:t>
      </w:r>
    </w:p>
    <w:p w14:paraId="3DE6AFAF"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val="en-US" w:eastAsia="es-CO"/>
          <w14:ligatures w14:val="none"/>
        </w:rPr>
      </w:pPr>
      <w:hyperlink r:id="rId75" w:anchor="cite_ref-6"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C-113 de 2022.</w:t>
      </w:r>
    </w:p>
    <w:p w14:paraId="55EEB433"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6" w:anchor="cite_ref-7"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entre otras,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C-286 de 2014, C-420 de 2010 y C-394 de 2020</w:t>
      </w:r>
    </w:p>
    <w:p w14:paraId="4183EA62"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7" w:anchor="cite_ref-8"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Así, la reincorporación al ordenamiento jurídico de las disposiciones derogadas por las normas declaradas inexequibles «solo tendrá lugar “cuando ello sea necesario para garantizar la integridad y supremacía de la Carta”. En esa medida la automaticidad de la reviviscencia es condicionada, pues previamente se deberá hacer un juicio sobre la necesidad de </w:t>
      </w:r>
      <w:proofErr w:type="gramStart"/>
      <w:r w:rsidRPr="005319E3">
        <w:rPr>
          <w:rFonts w:ascii="Segoe UI" w:eastAsia="Times New Roman" w:hAnsi="Segoe UI" w:cs="Segoe UI"/>
          <w:color w:val="000000"/>
          <w:kern w:val="0"/>
          <w:sz w:val="21"/>
          <w:szCs w:val="21"/>
          <w:lang w:eastAsia="es-CO"/>
          <w14:ligatures w14:val="none"/>
        </w:rPr>
        <w:t>la misma</w:t>
      </w:r>
      <w:proofErr w:type="gramEnd"/>
      <w:r w:rsidRPr="005319E3">
        <w:rPr>
          <w:rFonts w:ascii="Segoe UI" w:eastAsia="Times New Roman" w:hAnsi="Segoe UI" w:cs="Segoe UI"/>
          <w:color w:val="000000"/>
          <w:kern w:val="0"/>
          <w:sz w:val="21"/>
          <w:szCs w:val="21"/>
          <w:lang w:eastAsia="es-CO"/>
          <w14:ligatures w14:val="none"/>
        </w:rPr>
        <w:t xml:space="preserve"> para preservar la integridad y supremacía de la Constitución».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C-402 de 2010.</w:t>
      </w:r>
    </w:p>
    <w:p w14:paraId="7CC393FB"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8" w:anchor="cite_ref-9"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w:t>
      </w:r>
      <w:proofErr w:type="spellStart"/>
      <w:r w:rsidRPr="005319E3">
        <w:rPr>
          <w:rFonts w:ascii="Segoe UI" w:eastAsia="Times New Roman" w:hAnsi="Segoe UI" w:cs="Segoe UI"/>
          <w:color w:val="000000"/>
          <w:kern w:val="0"/>
          <w:sz w:val="21"/>
          <w:szCs w:val="21"/>
          <w:lang w:eastAsia="es-CO"/>
          <w14:ligatures w14:val="none"/>
        </w:rPr>
        <w:t>iii</w:t>
      </w:r>
      <w:proofErr w:type="spellEnd"/>
      <w:r w:rsidRPr="005319E3">
        <w:rPr>
          <w:rFonts w:ascii="Segoe UI" w:eastAsia="Times New Roman" w:hAnsi="Segoe UI" w:cs="Segoe UI"/>
          <w:color w:val="000000"/>
          <w:kern w:val="0"/>
          <w:sz w:val="21"/>
          <w:szCs w:val="21"/>
          <w:lang w:eastAsia="es-CO"/>
          <w14:ligatures w14:val="none"/>
        </w:rPr>
        <w:t>) En relación con la oportunidad para declarar o, mejor aún, reconocer la reviviscencia de las disposiciones señaladas, la Corte Constitucional no ha establecido la obligación de hacerlo en un momento determinado, y solo ha recomendado efectuar dicha declaratoria en la sentencia con la cual se declara inexequible una norma que haya derogado expresa o tácitamente otra». Cfr. C. E., Sala de Consulta y Servicio Civil, Concepto 2243 de 2015.</w:t>
      </w:r>
    </w:p>
    <w:p w14:paraId="7610F0FA"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val="en-US" w:eastAsia="es-CO"/>
          <w14:ligatures w14:val="none"/>
        </w:rPr>
      </w:pPr>
      <w:hyperlink r:id="rId79" w:anchor="cite_ref-10"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C-402 de 2010.</w:t>
      </w:r>
    </w:p>
    <w:p w14:paraId="02F99D23"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0" w:anchor="cite_ref-11"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Así mismo, la Sentencia C-286 de 2014 determinó que debían concurrir las siguientes condiciones: «(a) creación de vacíos normativos; (b) vulneraciones a los derechos fundamentales; (c) necesidad para garantizar la supremacía de la Constitución Política, y (d) siempre y cuando las normas reincorporadas sean constitucionalmente admisibles».</w:t>
      </w:r>
    </w:p>
    <w:p w14:paraId="3D0DF3FF"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val="en-US" w:eastAsia="es-CO"/>
          <w14:ligatures w14:val="none"/>
        </w:rPr>
      </w:pPr>
      <w:hyperlink r:id="rId81" w:anchor="cite_ref-12"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C-540 de 2023.</w:t>
      </w:r>
    </w:p>
    <w:p w14:paraId="5B5664E4"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2" w:anchor="cite_ref-13"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C-539 de 2011, considerando 5.1.</w:t>
      </w:r>
    </w:p>
    <w:p w14:paraId="1C6954D9"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3" w:anchor="cite_ref-14"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Cuando la Corte Constitucional interpreta la constitución, entre aquellas «no puede interponerse ni una hoja de papel».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C-113 de 1993.</w:t>
      </w:r>
    </w:p>
    <w:p w14:paraId="0FE8D064"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4" w:anchor="cite_ref-15"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En cuanto a los efectos de los fallos de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xml:space="preserve">, la Corte ha señalado que estos hacen tránsito a cosa juzgada constitucional, conforme el artículo 243 de la Constitución Política, y por lo tanto ninguna autoridad podrá reproducir el contenido material del acto jurídico declarado inexequible por razones de fondo, so pena de una violación directa de la Constitución.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C-335 de 2008 y T-355 de 2007.</w:t>
      </w:r>
    </w:p>
    <w:p w14:paraId="718F51B6"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5" w:anchor="cite_ref-16"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SU-1122 de 2001.</w:t>
      </w:r>
    </w:p>
    <w:p w14:paraId="223E949A"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val="en-US" w:eastAsia="es-CO"/>
          <w14:ligatures w14:val="none"/>
        </w:rPr>
      </w:pPr>
      <w:hyperlink r:id="rId86" w:anchor="cite_ref-17"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T-116 de 2004.</w:t>
      </w:r>
    </w:p>
    <w:p w14:paraId="55D7978F" w14:textId="77777777"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val="en-US" w:eastAsia="es-CO"/>
          <w14:ligatures w14:val="none"/>
        </w:rPr>
      </w:pPr>
      <w:hyperlink r:id="rId87" w:anchor="cite_ref-18"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C-335 de 2008.</w:t>
      </w:r>
    </w:p>
    <w:p w14:paraId="423AD0D6"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8" w:anchor="cite_ref-19"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“Estos conceptos son formulados de distinta manera y con lenguajes diversos por los autores, lo cual ha generado a veces agudas discusiones conceptuales. Sin embargo, su sentido esencial es relativamente claro: Así, el </w:t>
      </w:r>
      <w:proofErr w:type="spellStart"/>
      <w:r w:rsidRPr="005319E3">
        <w:rPr>
          <w:rFonts w:ascii="Segoe UI" w:eastAsia="Times New Roman" w:hAnsi="Segoe UI" w:cs="Segoe UI"/>
          <w:color w:val="000000"/>
          <w:kern w:val="0"/>
          <w:sz w:val="21"/>
          <w:szCs w:val="21"/>
          <w:lang w:eastAsia="es-CO"/>
          <w14:ligatures w14:val="none"/>
        </w:rPr>
        <w:t>decisum</w:t>
      </w:r>
      <w:proofErr w:type="spellEnd"/>
      <w:r w:rsidRPr="005319E3">
        <w:rPr>
          <w:rFonts w:ascii="Segoe UI" w:eastAsia="Times New Roman" w:hAnsi="Segoe UI" w:cs="Segoe UI"/>
          <w:color w:val="000000"/>
          <w:kern w:val="0"/>
          <w:sz w:val="21"/>
          <w:szCs w:val="21"/>
          <w:lang w:eastAsia="es-CO"/>
          <w14:ligatures w14:val="none"/>
        </w:rPr>
        <w:t xml:space="preserve"> es la resolución concreta del caso, esto es, la determinación específica de si el acusado es o no culpable en materia penal, si el demandado debe o no responder en materia civil, si al peticionario el juez le tutela o no su derecho, si la disposición acusada es o no retirada del ordenamiento, etc. Por su parte, la ratio </w:t>
      </w:r>
      <w:proofErr w:type="spellStart"/>
      <w:r w:rsidRPr="005319E3">
        <w:rPr>
          <w:rFonts w:ascii="Segoe UI" w:eastAsia="Times New Roman" w:hAnsi="Segoe UI" w:cs="Segoe UI"/>
          <w:color w:val="000000"/>
          <w:kern w:val="0"/>
          <w:sz w:val="21"/>
          <w:szCs w:val="21"/>
          <w:lang w:eastAsia="es-CO"/>
          <w14:ligatures w14:val="none"/>
        </w:rPr>
        <w:t>decidendi</w:t>
      </w:r>
      <w:proofErr w:type="spellEnd"/>
      <w:r w:rsidRPr="005319E3">
        <w:rPr>
          <w:rFonts w:ascii="Segoe UI" w:eastAsia="Times New Roman" w:hAnsi="Segoe UI" w:cs="Segoe UI"/>
          <w:color w:val="000000"/>
          <w:kern w:val="0"/>
          <w:sz w:val="21"/>
          <w:szCs w:val="21"/>
          <w:lang w:eastAsia="es-CO"/>
          <w14:ligatures w14:val="none"/>
        </w:rPr>
        <w:t xml:space="preserve"> es la formulación general, más allá de las particularidades irrelevantes del caso, del principio, regla o razón general que constituyen la base de la decisión judicial específica. Es, si se quiere, el fundamento normativo directo de la parte resolutiva. En cambio, constituye un mero </w:t>
      </w:r>
      <w:proofErr w:type="spellStart"/>
      <w:r w:rsidRPr="005319E3">
        <w:rPr>
          <w:rFonts w:ascii="Segoe UI" w:eastAsia="Times New Roman" w:hAnsi="Segoe UI" w:cs="Segoe UI"/>
          <w:color w:val="000000"/>
          <w:kern w:val="0"/>
          <w:sz w:val="21"/>
          <w:szCs w:val="21"/>
          <w:lang w:eastAsia="es-CO"/>
          <w14:ligatures w14:val="none"/>
        </w:rPr>
        <w:t>dictum</w:t>
      </w:r>
      <w:proofErr w:type="spellEnd"/>
      <w:r w:rsidRPr="005319E3">
        <w:rPr>
          <w:rFonts w:ascii="Segoe UI" w:eastAsia="Times New Roman" w:hAnsi="Segoe UI" w:cs="Segoe UI"/>
          <w:color w:val="000000"/>
          <w:kern w:val="0"/>
          <w:sz w:val="21"/>
          <w:szCs w:val="21"/>
          <w:lang w:eastAsia="es-CO"/>
          <w14:ligatures w14:val="none"/>
        </w:rPr>
        <w:t>, toda aquella reflexión adelantada por el juez al motivar su fallo, pero que no es necesaria a la decisión, por lo cual son opiniones más o menos incidentales en la argumentación del funcionario. Cfr. SU-047 de 1999.</w:t>
      </w:r>
    </w:p>
    <w:p w14:paraId="11396775"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9" w:anchor="cite_ref-20"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T-489 de 2013.</w:t>
      </w:r>
    </w:p>
    <w:p w14:paraId="2CA1A17B"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0" w:anchor="cite_ref-21"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En la sentencia C-540 de 2023, la razón de la decisión de la </w:t>
      </w:r>
      <w:proofErr w:type="spellStart"/>
      <w:r w:rsidRPr="005319E3">
        <w:rPr>
          <w:rFonts w:ascii="Segoe UI" w:eastAsia="Times New Roman" w:hAnsi="Segoe UI" w:cs="Segoe UI"/>
          <w:color w:val="000000"/>
          <w:kern w:val="0"/>
          <w:sz w:val="21"/>
          <w:szCs w:val="21"/>
          <w:lang w:eastAsia="es-CO"/>
          <w14:ligatures w14:val="none"/>
        </w:rPr>
        <w:t>inexequibilidad</w:t>
      </w:r>
      <w:proofErr w:type="spellEnd"/>
      <w:r w:rsidRPr="005319E3">
        <w:rPr>
          <w:rFonts w:ascii="Segoe UI" w:eastAsia="Times New Roman" w:hAnsi="Segoe UI" w:cs="Segoe UI"/>
          <w:color w:val="000000"/>
          <w:kern w:val="0"/>
          <w:sz w:val="21"/>
          <w:szCs w:val="21"/>
          <w:lang w:eastAsia="es-CO"/>
          <w14:ligatures w14:val="none"/>
        </w:rPr>
        <w:t xml:space="preserve"> de los numerales 4º y 5º del parágrafo 4º del artículo 908 del Estatuto Tributario, de conformidad con la modificación efectuada por el artículo 44 de la Ley 2277 de 2022, se debió a que, para la Corte, el criterio para justificar la diferenciación de límites de ingresos y tarifas entre los dos grupos (4 y 5) dentro del régimen simple de tributación -SIMPLE, basado en la estructura de costos y la relevancia social de las profesiones liberales, carecía de fundamentos adecuados. Esto debido a que resultaba difícil establecer un criterio claro que permitiera diferenciar de manera justificada a los contribuyentes clasificados en los dos grupos (4 y 5). Estas razones, llevaron a la Corte a determinar que en este caso se constituía una vulneración del derecho a la igualdad de quienes ejercen estas actividades económicas.</w:t>
      </w:r>
    </w:p>
    <w:p w14:paraId="00842A14"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1" w:anchor="cite_ref-22"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C-037 de 1996 y C-280 de 2014, entre otras.</w:t>
      </w:r>
    </w:p>
    <w:p w14:paraId="7CB38281"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2" w:anchor="cite_ref-23"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C. Const.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SU-037 de 2019. Considerando 5.</w:t>
      </w:r>
    </w:p>
    <w:p w14:paraId="3115B5B0"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3" w:anchor="cite_ref-24"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Cfr. C. Const. Auto 155 de 2013.</w:t>
      </w:r>
    </w:p>
    <w:p w14:paraId="38318BE7"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4" w:anchor="cite_ref-25"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C. Const. Auto 542 de 2024, considerando 23.</w:t>
      </w:r>
    </w:p>
    <w:p w14:paraId="0D49D640"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5" w:anchor="cite_ref-26"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xml:space="preserve"> Cfr. C. E., Sección Cuarta,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xml:space="preserve">. Del 27 de junio de 2019, </w:t>
      </w:r>
      <w:proofErr w:type="spellStart"/>
      <w:r w:rsidRPr="005319E3">
        <w:rPr>
          <w:rFonts w:ascii="Segoe UI" w:eastAsia="Times New Roman" w:hAnsi="Segoe UI" w:cs="Segoe UI"/>
          <w:color w:val="000000"/>
          <w:kern w:val="0"/>
          <w:sz w:val="21"/>
          <w:szCs w:val="21"/>
          <w:lang w:eastAsia="es-CO"/>
          <w14:ligatures w14:val="none"/>
        </w:rPr>
        <w:t>exp</w:t>
      </w:r>
      <w:proofErr w:type="spellEnd"/>
      <w:r w:rsidRPr="005319E3">
        <w:rPr>
          <w:rFonts w:ascii="Segoe UI" w:eastAsia="Times New Roman" w:hAnsi="Segoe UI" w:cs="Segoe UI"/>
          <w:color w:val="000000"/>
          <w:kern w:val="0"/>
          <w:sz w:val="21"/>
          <w:szCs w:val="21"/>
          <w:lang w:eastAsia="es-CO"/>
          <w14:ligatures w14:val="none"/>
        </w:rPr>
        <w:t xml:space="preserve">. 22421 y C. E., Sección Cuarta. </w:t>
      </w:r>
      <w:proofErr w:type="spellStart"/>
      <w:r w:rsidRPr="005319E3">
        <w:rPr>
          <w:rFonts w:ascii="Segoe UI" w:eastAsia="Times New Roman" w:hAnsi="Segoe UI" w:cs="Segoe UI"/>
          <w:color w:val="000000"/>
          <w:kern w:val="0"/>
          <w:sz w:val="21"/>
          <w:szCs w:val="21"/>
          <w:lang w:eastAsia="es-CO"/>
          <w14:ligatures w14:val="none"/>
        </w:rPr>
        <w:t>Sent</w:t>
      </w:r>
      <w:proofErr w:type="spellEnd"/>
      <w:r w:rsidRPr="005319E3">
        <w:rPr>
          <w:rFonts w:ascii="Segoe UI" w:eastAsia="Times New Roman" w:hAnsi="Segoe UI" w:cs="Segoe UI"/>
          <w:color w:val="000000"/>
          <w:kern w:val="0"/>
          <w:sz w:val="21"/>
          <w:szCs w:val="21"/>
          <w:lang w:eastAsia="es-CO"/>
          <w14:ligatures w14:val="none"/>
        </w:rPr>
        <w:t xml:space="preserve">. del 10 de julio de 2003, </w:t>
      </w:r>
      <w:proofErr w:type="spellStart"/>
      <w:r w:rsidRPr="005319E3">
        <w:rPr>
          <w:rFonts w:ascii="Segoe UI" w:eastAsia="Times New Roman" w:hAnsi="Segoe UI" w:cs="Segoe UI"/>
          <w:color w:val="000000"/>
          <w:kern w:val="0"/>
          <w:sz w:val="21"/>
          <w:szCs w:val="21"/>
          <w:lang w:eastAsia="es-CO"/>
          <w14:ligatures w14:val="none"/>
        </w:rPr>
        <w:t>exp</w:t>
      </w:r>
      <w:proofErr w:type="spellEnd"/>
      <w:r w:rsidRPr="005319E3">
        <w:rPr>
          <w:rFonts w:ascii="Segoe UI" w:eastAsia="Times New Roman" w:hAnsi="Segoe UI" w:cs="Segoe UI"/>
          <w:color w:val="000000"/>
          <w:kern w:val="0"/>
          <w:sz w:val="21"/>
          <w:szCs w:val="21"/>
          <w:lang w:eastAsia="es-CO"/>
          <w14:ligatures w14:val="none"/>
        </w:rPr>
        <w:t>. 13453.</w:t>
      </w:r>
    </w:p>
    <w:p w14:paraId="265B99CE" w14:textId="77777777" w:rsid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6" w:anchor="cite_ref-27" w:tooltip="Volver arriba" w:history="1">
        <w:r w:rsidRPr="005319E3">
          <w:rPr>
            <w:rFonts w:ascii="Segoe UI" w:eastAsia="Times New Roman" w:hAnsi="Segoe UI" w:cs="Segoe UI"/>
            <w:color w:val="0645AD"/>
            <w:kern w:val="0"/>
            <w:sz w:val="21"/>
            <w:szCs w:val="21"/>
            <w:u w:val="single"/>
            <w:lang w:eastAsia="es-CO"/>
            <w14:ligatures w14:val="none"/>
          </w:rPr>
          <w:t>↑</w:t>
        </w:r>
      </w:hyperlink>
      <w:r w:rsidRPr="005319E3">
        <w:rPr>
          <w:rFonts w:ascii="Segoe UI" w:eastAsia="Times New Roman" w:hAnsi="Segoe UI" w:cs="Segoe UI"/>
          <w:color w:val="000000"/>
          <w:kern w:val="0"/>
          <w:sz w:val="21"/>
          <w:szCs w:val="21"/>
          <w:lang w:eastAsia="es-CO"/>
          <w14:ligatures w14:val="none"/>
        </w:rPr>
        <w:t> Cfr. Decreto 2229 de 2023.</w:t>
      </w:r>
    </w:p>
    <w:p w14:paraId="2CB8ECCB" w14:textId="54C1B578" w:rsidR="005319E3" w:rsidRPr="005319E3" w:rsidRDefault="005319E3" w:rsidP="005319E3">
      <w:pPr>
        <w:numPr>
          <w:ilvl w:val="1"/>
          <w:numId w:val="2"/>
        </w:numPr>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7" w:anchor="cite_ref-28" w:tooltip="Volver arriba" w:history="1">
        <w:r w:rsidRPr="005319E3">
          <w:rPr>
            <w:rFonts w:ascii="Segoe UI" w:eastAsia="Times New Roman" w:hAnsi="Segoe UI" w:cs="Segoe UI"/>
            <w:color w:val="0645AD"/>
            <w:kern w:val="0"/>
            <w:sz w:val="21"/>
            <w:szCs w:val="21"/>
            <w:u w:val="single"/>
            <w:lang w:val="en-US" w:eastAsia="es-CO"/>
            <w14:ligatures w14:val="none"/>
          </w:rPr>
          <w:t>↑</w:t>
        </w:r>
      </w:hyperlink>
      <w:r w:rsidRPr="005319E3">
        <w:rPr>
          <w:rFonts w:ascii="Segoe UI" w:eastAsia="Times New Roman" w:hAnsi="Segoe UI" w:cs="Segoe UI"/>
          <w:color w:val="000000"/>
          <w:kern w:val="0"/>
          <w:sz w:val="21"/>
          <w:szCs w:val="21"/>
          <w:lang w:val="en-US" w:eastAsia="es-CO"/>
          <w14:ligatures w14:val="none"/>
        </w:rPr>
        <w:t> </w:t>
      </w:r>
      <w:proofErr w:type="spellStart"/>
      <w:r w:rsidRPr="005319E3">
        <w:rPr>
          <w:rFonts w:ascii="Segoe UI" w:eastAsia="Times New Roman" w:hAnsi="Segoe UI" w:cs="Segoe UI"/>
          <w:color w:val="000000"/>
          <w:kern w:val="0"/>
          <w:sz w:val="21"/>
          <w:szCs w:val="21"/>
          <w:lang w:val="en-US" w:eastAsia="es-CO"/>
          <w14:ligatures w14:val="none"/>
        </w:rPr>
        <w:t>Cfr</w:t>
      </w:r>
      <w:proofErr w:type="spellEnd"/>
      <w:r w:rsidRPr="005319E3">
        <w:rPr>
          <w:rFonts w:ascii="Segoe UI" w:eastAsia="Times New Roman" w:hAnsi="Segoe UI" w:cs="Segoe UI"/>
          <w:color w:val="000000"/>
          <w:kern w:val="0"/>
          <w:sz w:val="21"/>
          <w:szCs w:val="21"/>
          <w:lang w:val="en-US" w:eastAsia="es-CO"/>
          <w14:ligatures w14:val="none"/>
        </w:rPr>
        <w:t>. C. Const. Sent. C-155 de 2003.</w:t>
      </w:r>
    </w:p>
    <w:p w14:paraId="02733611" w14:textId="77777777" w:rsidR="005319E3" w:rsidRPr="005319E3" w:rsidRDefault="005319E3">
      <w:pPr>
        <w:rPr>
          <w:lang w:val="en-US"/>
        </w:rPr>
      </w:pPr>
    </w:p>
    <w:sectPr w:rsidR="005319E3" w:rsidRPr="005319E3"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F609D"/>
    <w:multiLevelType w:val="multilevel"/>
    <w:tmpl w:val="5B4287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A2278"/>
    <w:multiLevelType w:val="multilevel"/>
    <w:tmpl w:val="FDBE0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0961C5"/>
    <w:multiLevelType w:val="multilevel"/>
    <w:tmpl w:val="247E4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420D88"/>
    <w:multiLevelType w:val="multilevel"/>
    <w:tmpl w:val="A9FCC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014807">
    <w:abstractNumId w:val="3"/>
  </w:num>
  <w:num w:numId="2" w16cid:durableId="1405950846">
    <w:abstractNumId w:val="1"/>
  </w:num>
  <w:num w:numId="3" w16cid:durableId="787168468">
    <w:abstractNumId w:val="2"/>
  </w:num>
  <w:num w:numId="4" w16cid:durableId="117815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E3"/>
    <w:rsid w:val="000F3837"/>
    <w:rsid w:val="001E311E"/>
    <w:rsid w:val="00434AE6"/>
    <w:rsid w:val="005319E3"/>
    <w:rsid w:val="005D25EE"/>
    <w:rsid w:val="007F5CC8"/>
    <w:rsid w:val="008779BE"/>
    <w:rsid w:val="008C2E57"/>
    <w:rsid w:val="009056D4"/>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FBF9"/>
  <w15:chartTrackingRefBased/>
  <w15:docId w15:val="{5731CEAE-BB08-4C7C-AF8D-65F0557A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1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1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19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19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319E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319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319E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319E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319E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19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19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19E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19E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319E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319E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319E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319E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319E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31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19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19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19E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319E3"/>
    <w:pPr>
      <w:spacing w:before="160"/>
      <w:jc w:val="center"/>
    </w:pPr>
    <w:rPr>
      <w:i/>
      <w:iCs/>
      <w:color w:val="404040" w:themeColor="text1" w:themeTint="BF"/>
    </w:rPr>
  </w:style>
  <w:style w:type="character" w:customStyle="1" w:styleId="CitaCar">
    <w:name w:val="Cita Car"/>
    <w:basedOn w:val="Fuentedeprrafopredeter"/>
    <w:link w:val="Cita"/>
    <w:uiPriority w:val="29"/>
    <w:rsid w:val="005319E3"/>
    <w:rPr>
      <w:i/>
      <w:iCs/>
      <w:color w:val="404040" w:themeColor="text1" w:themeTint="BF"/>
    </w:rPr>
  </w:style>
  <w:style w:type="paragraph" w:styleId="Prrafodelista">
    <w:name w:val="List Paragraph"/>
    <w:basedOn w:val="Normal"/>
    <w:uiPriority w:val="34"/>
    <w:qFormat/>
    <w:rsid w:val="005319E3"/>
    <w:pPr>
      <w:ind w:left="720"/>
      <w:contextualSpacing/>
    </w:pPr>
  </w:style>
  <w:style w:type="character" w:styleId="nfasisintenso">
    <w:name w:val="Intense Emphasis"/>
    <w:basedOn w:val="Fuentedeprrafopredeter"/>
    <w:uiPriority w:val="21"/>
    <w:qFormat/>
    <w:rsid w:val="005319E3"/>
    <w:rPr>
      <w:i/>
      <w:iCs/>
      <w:color w:val="0F4761" w:themeColor="accent1" w:themeShade="BF"/>
    </w:rPr>
  </w:style>
  <w:style w:type="paragraph" w:styleId="Citadestacada">
    <w:name w:val="Intense Quote"/>
    <w:basedOn w:val="Normal"/>
    <w:next w:val="Normal"/>
    <w:link w:val="CitadestacadaCar"/>
    <w:uiPriority w:val="30"/>
    <w:qFormat/>
    <w:rsid w:val="00531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19E3"/>
    <w:rPr>
      <w:i/>
      <w:iCs/>
      <w:color w:val="0F4761" w:themeColor="accent1" w:themeShade="BF"/>
    </w:rPr>
  </w:style>
  <w:style w:type="character" w:styleId="Referenciaintensa">
    <w:name w:val="Intense Reference"/>
    <w:basedOn w:val="Fuentedeprrafopredeter"/>
    <w:uiPriority w:val="32"/>
    <w:qFormat/>
    <w:rsid w:val="005319E3"/>
    <w:rPr>
      <w:b/>
      <w:bCs/>
      <w:smallCaps/>
      <w:color w:val="0F4761" w:themeColor="accent1" w:themeShade="BF"/>
      <w:spacing w:val="5"/>
    </w:rPr>
  </w:style>
  <w:style w:type="character" w:styleId="Hipervnculo">
    <w:name w:val="Hyperlink"/>
    <w:basedOn w:val="Fuentedeprrafopredeter"/>
    <w:uiPriority w:val="99"/>
    <w:semiHidden/>
    <w:unhideWhenUsed/>
    <w:rsid w:val="005319E3"/>
    <w:rPr>
      <w:color w:val="0000FF"/>
      <w:u w:val="single"/>
    </w:rPr>
  </w:style>
  <w:style w:type="character" w:customStyle="1" w:styleId="reference-text">
    <w:name w:val="reference-text"/>
    <w:basedOn w:val="Fuentedeprrafopredeter"/>
    <w:rsid w:val="005319E3"/>
  </w:style>
  <w:style w:type="paragraph" w:styleId="NormalWeb">
    <w:name w:val="Normal (Web)"/>
    <w:basedOn w:val="Normal"/>
    <w:uiPriority w:val="99"/>
    <w:semiHidden/>
    <w:unhideWhenUsed/>
    <w:rsid w:val="005319E3"/>
    <w:pPr>
      <w:spacing w:before="100" w:beforeAutospacing="1" w:after="100" w:afterAutospacing="1" w:line="240" w:lineRule="auto"/>
    </w:pPr>
    <w:rPr>
      <w:rFonts w:eastAsia="Times New Roman" w:cs="Times New Roman"/>
      <w:kern w:val="0"/>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6393">
      <w:bodyDiv w:val="1"/>
      <w:marLeft w:val="0"/>
      <w:marRight w:val="0"/>
      <w:marTop w:val="0"/>
      <w:marBottom w:val="0"/>
      <w:divBdr>
        <w:top w:val="none" w:sz="0" w:space="0" w:color="auto"/>
        <w:left w:val="none" w:sz="0" w:space="0" w:color="auto"/>
        <w:bottom w:val="none" w:sz="0" w:space="0" w:color="auto"/>
        <w:right w:val="none" w:sz="0" w:space="0" w:color="auto"/>
      </w:divBdr>
    </w:div>
    <w:div w:id="1113943605">
      <w:bodyDiv w:val="1"/>
      <w:marLeft w:val="0"/>
      <w:marRight w:val="0"/>
      <w:marTop w:val="0"/>
      <w:marBottom w:val="0"/>
      <w:divBdr>
        <w:top w:val="none" w:sz="0" w:space="0" w:color="auto"/>
        <w:left w:val="none" w:sz="0" w:space="0" w:color="auto"/>
        <w:bottom w:val="none" w:sz="0" w:space="0" w:color="auto"/>
        <w:right w:val="none" w:sz="0" w:space="0" w:color="auto"/>
      </w:divBdr>
    </w:div>
    <w:div w:id="1327249447">
      <w:bodyDiv w:val="1"/>
      <w:marLeft w:val="0"/>
      <w:marRight w:val="0"/>
      <w:marTop w:val="0"/>
      <w:marBottom w:val="0"/>
      <w:divBdr>
        <w:top w:val="none" w:sz="0" w:space="0" w:color="auto"/>
        <w:left w:val="none" w:sz="0" w:space="0" w:color="auto"/>
        <w:bottom w:val="none" w:sz="0" w:space="0" w:color="auto"/>
        <w:right w:val="none" w:sz="0" w:space="0" w:color="auto"/>
      </w:divBdr>
    </w:div>
    <w:div w:id="1647277546">
      <w:bodyDiv w:val="1"/>
      <w:marLeft w:val="0"/>
      <w:marRight w:val="0"/>
      <w:marTop w:val="0"/>
      <w:marBottom w:val="0"/>
      <w:divBdr>
        <w:top w:val="none" w:sz="0" w:space="0" w:color="auto"/>
        <w:left w:val="none" w:sz="0" w:space="0" w:color="auto"/>
        <w:bottom w:val="none" w:sz="0" w:space="0" w:color="auto"/>
        <w:right w:val="none" w:sz="0" w:space="0" w:color="auto"/>
      </w:divBdr>
    </w:div>
    <w:div w:id="1786193641">
      <w:bodyDiv w:val="1"/>
      <w:marLeft w:val="0"/>
      <w:marRight w:val="0"/>
      <w:marTop w:val="0"/>
      <w:marBottom w:val="0"/>
      <w:divBdr>
        <w:top w:val="none" w:sz="0" w:space="0" w:color="auto"/>
        <w:left w:val="none" w:sz="0" w:space="0" w:color="auto"/>
        <w:bottom w:val="none" w:sz="0" w:space="0" w:color="auto"/>
        <w:right w:val="none" w:sz="0" w:space="0" w:color="auto"/>
      </w:divBdr>
    </w:div>
    <w:div w:id="1797023364">
      <w:bodyDiv w:val="1"/>
      <w:marLeft w:val="0"/>
      <w:marRight w:val="0"/>
      <w:marTop w:val="0"/>
      <w:marBottom w:val="0"/>
      <w:divBdr>
        <w:top w:val="none" w:sz="0" w:space="0" w:color="auto"/>
        <w:left w:val="none" w:sz="0" w:space="0" w:color="auto"/>
        <w:bottom w:val="none" w:sz="0" w:space="0" w:color="auto"/>
        <w:right w:val="none" w:sz="0" w:space="0" w:color="auto"/>
      </w:divBdr>
    </w:div>
    <w:div w:id="2015263732">
      <w:bodyDiv w:val="1"/>
      <w:marLeft w:val="0"/>
      <w:marRight w:val="0"/>
      <w:marTop w:val="0"/>
      <w:marBottom w:val="0"/>
      <w:divBdr>
        <w:top w:val="none" w:sz="0" w:space="0" w:color="auto"/>
        <w:left w:val="none" w:sz="0" w:space="0" w:color="auto"/>
        <w:bottom w:val="none" w:sz="0" w:space="0" w:color="auto"/>
        <w:right w:val="none" w:sz="0" w:space="0" w:color="auto"/>
      </w:divBdr>
    </w:div>
    <w:div w:id="20667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ta.org.co/html/vista_de_un_documento.asp?DocumentoID=51688" TargetMode="External"/><Relationship Id="rId21" Type="http://schemas.openxmlformats.org/officeDocument/2006/relationships/hyperlink" Target="https://www.ceta.org.co/html/vista_de_un_articulo.asp?Norma=42519" TargetMode="External"/><Relationship Id="rId42" Type="http://schemas.openxmlformats.org/officeDocument/2006/relationships/hyperlink" Target="https://www.ceta.org.co/html/vista_de_un_articulo.asp?Norma=42519" TargetMode="External"/><Relationship Id="rId47" Type="http://schemas.openxmlformats.org/officeDocument/2006/relationships/hyperlink" Target="https://www.ceta.org.co/html/vista_de_un_articulo.asp?Norma=42519" TargetMode="External"/><Relationship Id="rId63" Type="http://schemas.openxmlformats.org/officeDocument/2006/relationships/hyperlink" Target="https://www.ceta.org.co/html/vista_de_un_documento.asp?DocumentoID=51688" TargetMode="External"/><Relationship Id="rId68" Type="http://schemas.openxmlformats.org/officeDocument/2006/relationships/hyperlink" Target="https://www.ceta.org.co/html/vista_de_un_documento.asp?DocumentoID=51688" TargetMode="External"/><Relationship Id="rId84" Type="http://schemas.openxmlformats.org/officeDocument/2006/relationships/hyperlink" Target="https://www.ceta.org.co/html/vista_de_un_documento.asp?DocumentoID=51688" TargetMode="External"/><Relationship Id="rId89" Type="http://schemas.openxmlformats.org/officeDocument/2006/relationships/hyperlink" Target="https://www.ceta.org.co/html/vista_de_un_documento.asp?DocumentoID=51688" TargetMode="External"/><Relationship Id="rId16" Type="http://schemas.openxmlformats.org/officeDocument/2006/relationships/hyperlink" Target="https://www.ceta.org.co/html/vista_de_un_articulo.asp?Norma=42516" TargetMode="External"/><Relationship Id="rId11" Type="http://schemas.openxmlformats.org/officeDocument/2006/relationships/hyperlink" Target="https://www.ceta.org.co/html/vista_de_un_articulo.asp?Norma=42519" TargetMode="External"/><Relationship Id="rId32" Type="http://schemas.openxmlformats.org/officeDocument/2006/relationships/hyperlink" Target="https://www.ceta.org.co/html/vista_de_un_documento.asp?DocumentoID=51688" TargetMode="External"/><Relationship Id="rId37" Type="http://schemas.openxmlformats.org/officeDocument/2006/relationships/hyperlink" Target="https://www.ceta.org.co/html/vista_de_un_documento.asp?DocumentoID=51688" TargetMode="External"/><Relationship Id="rId53" Type="http://schemas.openxmlformats.org/officeDocument/2006/relationships/hyperlink" Target="https://www.ceta.org.co/html/vista_de_un_documento.asp?DocumentoID=51688" TargetMode="External"/><Relationship Id="rId58" Type="http://schemas.openxmlformats.org/officeDocument/2006/relationships/hyperlink" Target="https://www.ceta.org.co/html/vista_de_un_documento.asp?DocumentoID=51688" TargetMode="External"/><Relationship Id="rId74" Type="http://schemas.openxmlformats.org/officeDocument/2006/relationships/hyperlink" Target="https://www.ceta.org.co/html/vista_de_un_documento.asp?DocumentoID=51688" TargetMode="External"/><Relationship Id="rId79" Type="http://schemas.openxmlformats.org/officeDocument/2006/relationships/hyperlink" Target="https://www.ceta.org.co/html/vista_de_un_documento.asp?DocumentoID=51688" TargetMode="External"/><Relationship Id="rId5" Type="http://schemas.openxmlformats.org/officeDocument/2006/relationships/hyperlink" Target="https://www.ceta.org.co/html/vista_de_un_articulo.asp?Norma=42516" TargetMode="External"/><Relationship Id="rId90" Type="http://schemas.openxmlformats.org/officeDocument/2006/relationships/hyperlink" Target="https://www.ceta.org.co/html/vista_de_un_documento.asp?DocumentoID=51688" TargetMode="External"/><Relationship Id="rId95" Type="http://schemas.openxmlformats.org/officeDocument/2006/relationships/hyperlink" Target="https://www.ceta.org.co/html/vista_de_un_documento.asp?DocumentoID=51688" TargetMode="External"/><Relationship Id="rId22" Type="http://schemas.openxmlformats.org/officeDocument/2006/relationships/hyperlink" Target="https://www.ceta.org.co/html/vista_de_un_documento.asp?DocumentoID=51688" TargetMode="External"/><Relationship Id="rId27" Type="http://schemas.openxmlformats.org/officeDocument/2006/relationships/hyperlink" Target="https://www.ceta.org.co/html/vista_de_un_documento.asp?DocumentoID=51688" TargetMode="External"/><Relationship Id="rId43" Type="http://schemas.openxmlformats.org/officeDocument/2006/relationships/hyperlink" Target="https://www.ceta.org.co/html/vista_de_un_articulo.asp?Norma=42519" TargetMode="External"/><Relationship Id="rId48" Type="http://schemas.openxmlformats.org/officeDocument/2006/relationships/hyperlink" Target="https://www.ceta.org.co/html/vista_de_un_documento.asp?DocumentoID=51688" TargetMode="External"/><Relationship Id="rId64" Type="http://schemas.openxmlformats.org/officeDocument/2006/relationships/hyperlink" Target="https://www.ceta.org.co/html/vista_de_un_documento.asp?DocumentoID=51688" TargetMode="External"/><Relationship Id="rId69" Type="http://schemas.openxmlformats.org/officeDocument/2006/relationships/hyperlink" Target="https://www.ceta.org.co/html/vista_de_un_documento.asp?DocumentoID=51688" TargetMode="External"/><Relationship Id="rId80" Type="http://schemas.openxmlformats.org/officeDocument/2006/relationships/hyperlink" Target="https://www.ceta.org.co/html/vista_de_un_documento.asp?DocumentoID=51688" TargetMode="External"/><Relationship Id="rId85" Type="http://schemas.openxmlformats.org/officeDocument/2006/relationships/hyperlink" Target="https://www.ceta.org.co/html/vista_de_un_documento.asp?DocumentoID=51688" TargetMode="External"/><Relationship Id="rId3" Type="http://schemas.openxmlformats.org/officeDocument/2006/relationships/settings" Target="settings.xml"/><Relationship Id="rId12" Type="http://schemas.openxmlformats.org/officeDocument/2006/relationships/hyperlink" Target="https://www.ceta.org.co/html/vista_de_un_articulo.asp?Norma=42519" TargetMode="External"/><Relationship Id="rId17" Type="http://schemas.openxmlformats.org/officeDocument/2006/relationships/hyperlink" Target="https://www.ceta.org.co/html/vista_de_un_articulo.asp?Norma=42519" TargetMode="External"/><Relationship Id="rId25" Type="http://schemas.openxmlformats.org/officeDocument/2006/relationships/hyperlink" Target="https://www.ceta.org.co/html/vista_de_un_documento.asp?DocumentoID=51688" TargetMode="External"/><Relationship Id="rId33" Type="http://schemas.openxmlformats.org/officeDocument/2006/relationships/hyperlink" Target="https://www.ceta.org.co/html/vista_de_un_documento.asp?DocumentoID=51688" TargetMode="External"/><Relationship Id="rId38" Type="http://schemas.openxmlformats.org/officeDocument/2006/relationships/hyperlink" Target="https://www.ceta.org.co/html/vista_de_un_documento.asp?DocumentoID=51688" TargetMode="External"/><Relationship Id="rId46" Type="http://schemas.openxmlformats.org/officeDocument/2006/relationships/hyperlink" Target="https://www.ceta.org.co/html/vista_de_un_documento.asp?DocumentoID=51688" TargetMode="External"/><Relationship Id="rId59" Type="http://schemas.openxmlformats.org/officeDocument/2006/relationships/hyperlink" Target="https://www.ceta.org.co/html/vista_de_un_documento.asp?DocumentoID=51688" TargetMode="External"/><Relationship Id="rId67" Type="http://schemas.openxmlformats.org/officeDocument/2006/relationships/hyperlink" Target="https://www.ceta.org.co/html/vista_de_un_documento.asp?DocumentoID=51688" TargetMode="External"/><Relationship Id="rId20" Type="http://schemas.openxmlformats.org/officeDocument/2006/relationships/hyperlink" Target="https://www.ceta.org.co/html/vista_de_un_articulo.asp?Norma=42519" TargetMode="External"/><Relationship Id="rId41" Type="http://schemas.openxmlformats.org/officeDocument/2006/relationships/hyperlink" Target="https://www.ceta.org.co/html/vista_de_un_documento.asp?DocumentoID=51688" TargetMode="External"/><Relationship Id="rId54" Type="http://schemas.openxmlformats.org/officeDocument/2006/relationships/hyperlink" Target="https://www.ceta.org.co/html/vista_de_un_documento.asp?DocumentoID=51688" TargetMode="External"/><Relationship Id="rId62" Type="http://schemas.openxmlformats.org/officeDocument/2006/relationships/hyperlink" Target="https://www.ceta.org.co/html/vista_de_un_documento.asp?DocumentoID=51688" TargetMode="External"/><Relationship Id="rId70" Type="http://schemas.openxmlformats.org/officeDocument/2006/relationships/hyperlink" Target="https://www.ceta.org.co/html/vista_de_un_documento.asp?DocumentoID=51688" TargetMode="External"/><Relationship Id="rId75" Type="http://schemas.openxmlformats.org/officeDocument/2006/relationships/hyperlink" Target="https://www.ceta.org.co/html/vista_de_un_documento.asp?DocumentoID=51688" TargetMode="External"/><Relationship Id="rId83" Type="http://schemas.openxmlformats.org/officeDocument/2006/relationships/hyperlink" Target="https://www.ceta.org.co/html/vista_de_un_documento.asp?DocumentoID=51688" TargetMode="External"/><Relationship Id="rId88" Type="http://schemas.openxmlformats.org/officeDocument/2006/relationships/hyperlink" Target="https://www.ceta.org.co/html/vista_de_un_documento.asp?DocumentoID=51688" TargetMode="External"/><Relationship Id="rId91" Type="http://schemas.openxmlformats.org/officeDocument/2006/relationships/hyperlink" Target="https://www.ceta.org.co/html/vista_de_un_documento.asp?DocumentoID=51688" TargetMode="External"/><Relationship Id="rId96" Type="http://schemas.openxmlformats.org/officeDocument/2006/relationships/hyperlink" Target="https://www.ceta.org.co/html/vista_de_un_documento.asp?DocumentoID=51688" TargetMode="External"/><Relationship Id="rId1" Type="http://schemas.openxmlformats.org/officeDocument/2006/relationships/numbering" Target="numbering.xml"/><Relationship Id="rId6" Type="http://schemas.openxmlformats.org/officeDocument/2006/relationships/hyperlink" Target="https://www.ceta.org.co/html/vista_de_un_articulo.asp?Norma=42519" TargetMode="External"/><Relationship Id="rId15" Type="http://schemas.openxmlformats.org/officeDocument/2006/relationships/hyperlink" Target="https://www.ceta.org.co/html/vista_de_un_documento.asp?DocumentoID=51688" TargetMode="External"/><Relationship Id="rId23" Type="http://schemas.openxmlformats.org/officeDocument/2006/relationships/hyperlink" Target="https://www.ceta.org.co/html/vista_de_un_documento.asp?DocumentoID=51688" TargetMode="External"/><Relationship Id="rId28" Type="http://schemas.openxmlformats.org/officeDocument/2006/relationships/hyperlink" Target="https://www.ceta.org.co/html/vista_de_un_articulo.asp?Norma=42519" TargetMode="External"/><Relationship Id="rId36" Type="http://schemas.openxmlformats.org/officeDocument/2006/relationships/hyperlink" Target="https://www.ceta.org.co/html/vista_de_un_documento.asp?DocumentoID=51688" TargetMode="External"/><Relationship Id="rId49" Type="http://schemas.openxmlformats.org/officeDocument/2006/relationships/hyperlink" Target="https://www.ceta.org.co/html/vista_de_un_documento.asp?DocumentoID=51688" TargetMode="External"/><Relationship Id="rId57" Type="http://schemas.openxmlformats.org/officeDocument/2006/relationships/hyperlink" Target="https://www.ceta.org.co/html/vista_de_un_documento.asp?DocumentoID=51688" TargetMode="External"/><Relationship Id="rId10" Type="http://schemas.openxmlformats.org/officeDocument/2006/relationships/hyperlink" Target="https://www.ceta.org.co/html/vista_de_un_articulo.asp?Norma=42516" TargetMode="External"/><Relationship Id="rId31" Type="http://schemas.openxmlformats.org/officeDocument/2006/relationships/hyperlink" Target="https://www.ceta.org.co/html/vista_de_un_documento.asp?DocumentoID=51688" TargetMode="External"/><Relationship Id="rId44" Type="http://schemas.openxmlformats.org/officeDocument/2006/relationships/hyperlink" Target="https://www.ceta.org.co/html/vista_de_un_articulo.asp?Norma=42519" TargetMode="External"/><Relationship Id="rId52" Type="http://schemas.openxmlformats.org/officeDocument/2006/relationships/hyperlink" Target="https://www.ceta.org.co/html/vista_de_un_documento.asp?DocumentoID=51688" TargetMode="External"/><Relationship Id="rId60" Type="http://schemas.openxmlformats.org/officeDocument/2006/relationships/hyperlink" Target="https://www.ceta.org.co/html/vista_de_un_documento.asp?DocumentoID=51688" TargetMode="External"/><Relationship Id="rId65" Type="http://schemas.openxmlformats.org/officeDocument/2006/relationships/hyperlink" Target="https://www.ceta.org.co/html/vista_de_un_documento.asp?DocumentoID=51688" TargetMode="External"/><Relationship Id="rId73" Type="http://schemas.openxmlformats.org/officeDocument/2006/relationships/hyperlink" Target="https://www.ceta.org.co/html/vista_de_un_documento.asp?DocumentoID=51688" TargetMode="External"/><Relationship Id="rId78" Type="http://schemas.openxmlformats.org/officeDocument/2006/relationships/hyperlink" Target="https://www.ceta.org.co/html/vista_de_un_documento.asp?DocumentoID=51688" TargetMode="External"/><Relationship Id="rId81" Type="http://schemas.openxmlformats.org/officeDocument/2006/relationships/hyperlink" Target="https://www.ceta.org.co/html/vista_de_un_documento.asp?DocumentoID=51688" TargetMode="External"/><Relationship Id="rId86" Type="http://schemas.openxmlformats.org/officeDocument/2006/relationships/hyperlink" Target="https://www.ceta.org.co/html/vista_de_un_documento.asp?DocumentoID=51688" TargetMode="External"/><Relationship Id="rId94" Type="http://schemas.openxmlformats.org/officeDocument/2006/relationships/hyperlink" Target="https://www.ceta.org.co/html/vista_de_un_documento.asp?DocumentoID=51688"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ta.org.co/html/vista_de_un_documento.asp?DocumentoID=51688" TargetMode="External"/><Relationship Id="rId13" Type="http://schemas.openxmlformats.org/officeDocument/2006/relationships/hyperlink" Target="https://www.ceta.org.co/html/vista_de_un_articulo.asp?Norma=42519" TargetMode="External"/><Relationship Id="rId18" Type="http://schemas.openxmlformats.org/officeDocument/2006/relationships/hyperlink" Target="https://www.ceta.org.co/html/vista_de_un_documento.asp?DocumentoID=51688" TargetMode="External"/><Relationship Id="rId39" Type="http://schemas.openxmlformats.org/officeDocument/2006/relationships/hyperlink" Target="https://www.ceta.org.co/html/vista_de_un_documento.asp?DocumentoID=51688" TargetMode="External"/><Relationship Id="rId34" Type="http://schemas.openxmlformats.org/officeDocument/2006/relationships/hyperlink" Target="https://www.ceta.org.co/html/vista_de_un_documento.asp?DocumentoID=51688" TargetMode="External"/><Relationship Id="rId50" Type="http://schemas.openxmlformats.org/officeDocument/2006/relationships/hyperlink" Target="https://normograma.dian.gov.co/dian/" TargetMode="External"/><Relationship Id="rId55" Type="http://schemas.openxmlformats.org/officeDocument/2006/relationships/hyperlink" Target="https://www.ceta.org.co/html/vista_de_un_documento.asp?DocumentoID=51688" TargetMode="External"/><Relationship Id="rId76" Type="http://schemas.openxmlformats.org/officeDocument/2006/relationships/hyperlink" Target="https://www.ceta.org.co/html/vista_de_un_documento.asp?DocumentoID=51688" TargetMode="External"/><Relationship Id="rId97" Type="http://schemas.openxmlformats.org/officeDocument/2006/relationships/hyperlink" Target="https://www.ceta.org.co/html/vista_de_un_documento.asp?DocumentoID=51688" TargetMode="External"/><Relationship Id="rId7" Type="http://schemas.openxmlformats.org/officeDocument/2006/relationships/hyperlink" Target="https://www.ceta.org.co/html/vista_de_un_articulo.asp?Norma=42521" TargetMode="External"/><Relationship Id="rId71" Type="http://schemas.openxmlformats.org/officeDocument/2006/relationships/hyperlink" Target="https://www.ceta.org.co/html/vista_de_un_documento.asp?DocumentoID=51688" TargetMode="External"/><Relationship Id="rId92" Type="http://schemas.openxmlformats.org/officeDocument/2006/relationships/hyperlink" Target="https://www.ceta.org.co/html/vista_de_un_documento.asp?DocumentoID=51688" TargetMode="External"/><Relationship Id="rId2" Type="http://schemas.openxmlformats.org/officeDocument/2006/relationships/styles" Target="styles.xml"/><Relationship Id="rId29" Type="http://schemas.openxmlformats.org/officeDocument/2006/relationships/hyperlink" Target="https://www.ceta.org.co/html/vista_de_un_documento.asp?DocumentoID=51688" TargetMode="External"/><Relationship Id="rId24" Type="http://schemas.openxmlformats.org/officeDocument/2006/relationships/hyperlink" Target="https://www.ceta.org.co/html/vista_de_un_documento.asp?DocumentoID=51688" TargetMode="External"/><Relationship Id="rId40" Type="http://schemas.openxmlformats.org/officeDocument/2006/relationships/hyperlink" Target="https://www.ceta.org.co/html/vista_de_un_documento.asp?DocumentoID=51688" TargetMode="External"/><Relationship Id="rId45" Type="http://schemas.openxmlformats.org/officeDocument/2006/relationships/hyperlink" Target="https://www.ceta.org.co/html/vista_de_un_documento.asp?DocumentoID=51688" TargetMode="External"/><Relationship Id="rId66" Type="http://schemas.openxmlformats.org/officeDocument/2006/relationships/hyperlink" Target="https://www.ceta.org.co/html/vista_de_un_documento.asp?DocumentoID=51688" TargetMode="External"/><Relationship Id="rId87" Type="http://schemas.openxmlformats.org/officeDocument/2006/relationships/hyperlink" Target="https://www.ceta.org.co/html/vista_de_un_documento.asp?DocumentoID=51688" TargetMode="External"/><Relationship Id="rId61" Type="http://schemas.openxmlformats.org/officeDocument/2006/relationships/hyperlink" Target="https://www.ceta.org.co/html/vista_de_un_documento.asp?DocumentoID=51688" TargetMode="External"/><Relationship Id="rId82" Type="http://schemas.openxmlformats.org/officeDocument/2006/relationships/hyperlink" Target="https://www.ceta.org.co/html/vista_de_un_documento.asp?DocumentoID=51688" TargetMode="External"/><Relationship Id="rId19" Type="http://schemas.openxmlformats.org/officeDocument/2006/relationships/hyperlink" Target="https://www.ceta.org.co/html/vista_de_un_articulo.asp?Norma=42519" TargetMode="External"/><Relationship Id="rId14" Type="http://schemas.openxmlformats.org/officeDocument/2006/relationships/hyperlink" Target="https://www.ceta.org.co/html/vista_de_un_documento.asp?DocumentoID=51688" TargetMode="External"/><Relationship Id="rId30" Type="http://schemas.openxmlformats.org/officeDocument/2006/relationships/hyperlink" Target="https://www.ceta.org.co/html/vista_de_un_documento.asp?DocumentoID=51688" TargetMode="External"/><Relationship Id="rId35" Type="http://schemas.openxmlformats.org/officeDocument/2006/relationships/hyperlink" Target="https://www.ceta.org.co/html/vista_de_un_documento.asp?DocumentoID=51688" TargetMode="External"/><Relationship Id="rId56" Type="http://schemas.openxmlformats.org/officeDocument/2006/relationships/hyperlink" Target="https://www.ceta.org.co/html/vista_de_un_documento.asp?DocumentoID=51688" TargetMode="External"/><Relationship Id="rId77" Type="http://schemas.openxmlformats.org/officeDocument/2006/relationships/hyperlink" Target="https://www.ceta.org.co/html/vista_de_un_documento.asp?DocumentoID=51688" TargetMode="External"/><Relationship Id="rId8" Type="http://schemas.openxmlformats.org/officeDocument/2006/relationships/hyperlink" Target="https://www.ceta.org.co/html/vista_de_un_documento.asp?DocumentoID=51688" TargetMode="External"/><Relationship Id="rId51" Type="http://schemas.openxmlformats.org/officeDocument/2006/relationships/hyperlink" Target="https://www.ceta.org.co/html/vista_de_un_documento.asp?DocumentoID=51688" TargetMode="External"/><Relationship Id="rId72" Type="http://schemas.openxmlformats.org/officeDocument/2006/relationships/hyperlink" Target="https://www.ceta.org.co/html/vista_de_un_documento.asp?DocumentoID=51688" TargetMode="External"/><Relationship Id="rId93" Type="http://schemas.openxmlformats.org/officeDocument/2006/relationships/hyperlink" Target="https://www.ceta.org.co/html/vista_de_un_documento.asp?DocumentoID=51688" TargetMode="External"/><Relationship Id="rId98"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5776</Words>
  <Characters>31774</Characters>
  <Application>Microsoft Office Word</Application>
  <DocSecurity>0</DocSecurity>
  <Lines>264</Lines>
  <Paragraphs>74</Paragraphs>
  <ScaleCrop>false</ScaleCrop>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2024-06-21T00:50:00Z</dcterms:created>
  <dcterms:modified xsi:type="dcterms:W3CDTF">2024-06-21T00:58:00Z</dcterms:modified>
</cp:coreProperties>
</file>