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A9FEF" w14:textId="77777777" w:rsidR="00401052" w:rsidRDefault="00401052" w:rsidP="00FF4E11">
      <w:pPr>
        <w:spacing w:line="360" w:lineRule="auto"/>
      </w:pPr>
    </w:p>
    <w:p w14:paraId="4167BB0B" w14:textId="77777777" w:rsidR="000D09F0" w:rsidRDefault="000D09F0" w:rsidP="00FF4E11">
      <w:pPr>
        <w:spacing w:line="360" w:lineRule="auto"/>
      </w:pPr>
    </w:p>
    <w:p w14:paraId="3A2D1EC9" w14:textId="77777777" w:rsidR="000D09F0" w:rsidRPr="000D09F0" w:rsidRDefault="000D09F0" w:rsidP="00FF4E11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 xml:space="preserve">CONCEPTO </w:t>
      </w:r>
      <w:proofErr w:type="spellStart"/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>Nº</w:t>
      </w:r>
      <w:proofErr w:type="spellEnd"/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 xml:space="preserve"> 0445 [001511]</w:t>
      </w:r>
    </w:p>
    <w:p w14:paraId="7002CF59" w14:textId="77777777" w:rsidR="000D09F0" w:rsidRPr="000D09F0" w:rsidRDefault="000D09F0" w:rsidP="00FF4E11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>02-03-2024</w:t>
      </w:r>
    </w:p>
    <w:p w14:paraId="36D96A5D" w14:textId="77777777" w:rsidR="000D09F0" w:rsidRPr="000D09F0" w:rsidRDefault="000D09F0" w:rsidP="00FF4E11">
      <w:pPr>
        <w:spacing w:after="0" w:line="360" w:lineRule="auto"/>
        <w:jc w:val="center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>DIAN</w:t>
      </w:r>
    </w:p>
    <w:p w14:paraId="4DD25451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18F97BCC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360F08D1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100202208-0445</w:t>
      </w:r>
    </w:p>
    <w:p w14:paraId="79D20D3E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0A530321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Bogotá, D.C.</w:t>
      </w:r>
    </w:p>
    <w:p w14:paraId="2DABC95A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5492"/>
      </w:tblGrid>
      <w:tr w:rsidR="000D09F0" w:rsidRPr="000D09F0" w14:paraId="071FC4CE" w14:textId="77777777" w:rsidTr="000D09F0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585CA9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s-CO"/>
                <w14:ligatures w14:val="none"/>
              </w:rPr>
              <w:t>Tema: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E78681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Procedimiento tributario</w:t>
            </w:r>
          </w:p>
        </w:tc>
      </w:tr>
      <w:tr w:rsidR="000D09F0" w:rsidRPr="000D09F0" w14:paraId="01DEA631" w14:textId="77777777" w:rsidTr="000D09F0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CDC051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s-CO"/>
                <w14:ligatures w14:val="none"/>
              </w:rPr>
              <w:t>Descriptores: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57DE13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Sistema de facturación electrónica</w:t>
            </w:r>
          </w:p>
          <w:p w14:paraId="1DEF56B9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Documento soporte de pago de nómina electrónica</w:t>
            </w:r>
          </w:p>
        </w:tc>
      </w:tr>
      <w:tr w:rsidR="000D09F0" w:rsidRPr="000D09F0" w14:paraId="48EA0EBA" w14:textId="77777777" w:rsidTr="000D09F0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A5501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es-CO"/>
                <w14:ligatures w14:val="none"/>
              </w:rPr>
              <w:t>Fuentes formales:</w:t>
            </w:r>
          </w:p>
        </w:tc>
        <w:tc>
          <w:tcPr>
            <w:tcW w:w="54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BBF1D7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Artículos </w:t>
            </w:r>
            <w:hyperlink r:id="rId5" w:tooltip="Estatuto Tributario CETA" w:history="1">
              <w:r w:rsidRPr="000D09F0">
                <w:rPr>
                  <w:rFonts w:ascii="Segoe UI" w:eastAsia="Times New Roman" w:hAnsi="Segoe UI" w:cs="Segoe UI"/>
                  <w:color w:val="0645AD"/>
                  <w:kern w:val="0"/>
                  <w:sz w:val="21"/>
                  <w:szCs w:val="21"/>
                  <w:u w:val="single"/>
                  <w:lang w:eastAsia="es-CO"/>
                  <w14:ligatures w14:val="none"/>
                </w:rPr>
                <w:t>105</w:t>
              </w:r>
            </w:hyperlink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 y </w:t>
            </w:r>
            <w:hyperlink r:id="rId6" w:tooltip="Estatuto Tributario CETA" w:history="1">
              <w:r w:rsidRPr="000D09F0">
                <w:rPr>
                  <w:rFonts w:ascii="Segoe UI" w:eastAsia="Times New Roman" w:hAnsi="Segoe UI" w:cs="Segoe UI"/>
                  <w:color w:val="0645AD"/>
                  <w:kern w:val="0"/>
                  <w:sz w:val="21"/>
                  <w:szCs w:val="21"/>
                  <w:u w:val="single"/>
                  <w:lang w:eastAsia="es-CO"/>
                  <w14:ligatures w14:val="none"/>
                </w:rPr>
                <w:t>107-1</w:t>
              </w:r>
            </w:hyperlink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 del Estatuto Tributario</w:t>
            </w:r>
          </w:p>
          <w:p w14:paraId="713993DA" w14:textId="77777777" w:rsidR="000D09F0" w:rsidRPr="000D09F0" w:rsidRDefault="000D09F0" w:rsidP="00FF4E11">
            <w:pPr>
              <w:spacing w:after="0" w:line="360" w:lineRule="auto"/>
              <w:jc w:val="both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</w:pPr>
            <w:r w:rsidRPr="000D09F0"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s-CO"/>
                <w14:ligatures w14:val="none"/>
              </w:rPr>
              <w:t>Artículos 1 y 4 de la Resolución DIAN 13 de 2021</w:t>
            </w:r>
          </w:p>
        </w:tc>
      </w:tr>
    </w:tbl>
    <w:p w14:paraId="5643CB36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01D7C810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4E22C170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Cordial saludo,</w:t>
      </w:r>
    </w:p>
    <w:p w14:paraId="2663C54D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C94DCC2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Corresponde a este Despacho evaluar la reconsideración de los conceptos expedidos por la Subdirección de Normativa y Doctrina</w:t>
      </w:r>
      <w:hyperlink r:id="rId7" w:anchor="cite_note-1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vertAlign w:val="superscript"/>
            <w:lang w:eastAsia="es-CO"/>
            <w14:ligatures w14:val="none"/>
          </w:rPr>
          <w:t>1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.</w:t>
      </w:r>
    </w:p>
    <w:p w14:paraId="55E5EABF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706B8D48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Mediante el radicado de la referencia, el peticionario solicita la reconsideración del Oficio 904137 - interno 691 de mayo 25 de 2022 pues, según el literal c) del numeral 2 del </w:t>
      </w:r>
      <w:hyperlink r:id="rId8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105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del Estatuto Tributario, las multas, sanciones, penalidades, intereses moratorios de carácter sancionatorio y las condenas provenientes de procesos administrativos, judiciales o arbitrales no son deducibles del impuesto sobre la renta.</w:t>
      </w:r>
    </w:p>
    <w:p w14:paraId="6917F293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6C1CF23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En el pronunciamiento objeto de disenso la Subdirección de Normativa y Doctrina manifestó:</w:t>
      </w:r>
    </w:p>
    <w:p w14:paraId="64345478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lastRenderedPageBreak/>
        <w:t> </w:t>
      </w:r>
    </w:p>
    <w:p w14:paraId="469968DE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(…) “(…) ¿los pagos laborales (salariales, prestacionales, etc.) cuando provengan de litigios laborales se deben incluir en el documento soporte de pago de nómina electrónica?”</w:t>
      </w:r>
    </w:p>
    <w:p w14:paraId="0658EE5C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1CBCED81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(…)</w:t>
      </w:r>
    </w:p>
    <w:p w14:paraId="16F03C8A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194F4956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El documento soporte de pago de nómina electrónica y las notas de ajuste que se derivan del citado documento, se origina por los pagos o abonos en cuenta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relacionados con la nómina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, entendidos ellos como aquellos que se desprenden de una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relación laboral o legal y reglamentaria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, así como por los pagos a pensionados a cargo del empleador. A la luz de la normatividad vigente, éste tiene como finalidad constituir el soporte de los costos y deducciones en el impuesto sobre la renta y complementarios e impuestos descontables en el impuesto sobre las ventas -IVA de las mencionadas erogaciones para el empleador (cfr. artículo 2º de la Resolución DIAN No. 000013 de 2021).</w:t>
      </w:r>
    </w:p>
    <w:p w14:paraId="11BD1B7F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1ED493E8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Teniendo en cuenta lo anterior, y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siempre que los pagos al trabajador provenientes de una sentencia judicial correspondan a pagos derivados de la relación laboral o legal y reglamentaria, deberán ser incluidos en el documento soporte de pago de nómina electrónica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para constituir el soporte del costo, deducción o descontable.</w:t>
      </w:r>
    </w:p>
    <w:p w14:paraId="5C3AEAAB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B499596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De manera que, los valores señalados en dicha sentencia que cumplan los criterios legales vigentes para ser considerados costos, deducciones e impuestos descontables y que se ajusten a lo explicado en el párrafo anterior (así como a la normativa vigente aplicable),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se deberán incluir en el documento electrónico correspondiente al mes dentro del cual se da el pago o abono en cuenta, lo que suceda primero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, de los conceptos derivados de la relación laboral o legal y reglamentaria originados en el fallo correspondiente. Lo anterior, en concordancia con lo dispuesto en los artículos 2 y 3 de la Resolución DIAN No. 000013 de 2021. (subrayado fuera de texto)</w:t>
      </w:r>
    </w:p>
    <w:p w14:paraId="30FC71D0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FA6F5A1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Sobre el particular, las consideraciones de este Despacho son las siguientes:</w:t>
      </w:r>
    </w:p>
    <w:p w14:paraId="2329FCC1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1CD234BC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lastRenderedPageBreak/>
        <w:t>El </w:t>
      </w:r>
      <w:hyperlink r:id="rId9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105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del Estatuto Tributario en el literal c) de su numeral 2 señala que “Las multas, sanciones, penalidades, intereses moratorios de carácter sancionatorio y las condenas provenientes de procesos administrativos, judiciales o arbitrales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diferentes a las laborales con sujeción a lo prevista (sic) en el numeral 3 (sic) del </w:t>
      </w:r>
      <w:hyperlink r:id="rId10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107-1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 de este estatuto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” (subrayado fuera de texto) son gastos que no cumplen con los requisitos establecidos en la Ley para su deducción en el impuesto sobre la renta y complementarios, motivo por el cual generan diferencias permanentes.</w:t>
      </w:r>
    </w:p>
    <w:p w14:paraId="473DC1C0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273EB818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Nótese que, en el caso de condenas provenientes de procesos administrativos, judiciales o arbitrales, el </w:t>
      </w:r>
      <w:hyperlink r:id="rId11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105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  <w:r w:rsidRPr="000D09F0">
        <w:rPr>
          <w:rFonts w:ascii="Segoe UI" w:eastAsia="Times New Roman" w:hAnsi="Segoe UI" w:cs="Segoe UI"/>
          <w:i/>
          <w:iCs/>
          <w:color w:val="000000"/>
          <w:kern w:val="0"/>
          <w:sz w:val="21"/>
          <w:szCs w:val="21"/>
          <w:lang w:eastAsia="es-CO"/>
          <w14:ligatures w14:val="none"/>
        </w:rPr>
        <w:t>ibidem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no incluye las condenas de carácter laboral, teniendo en cuenta lo señalado en el numeral 2 del </w:t>
      </w:r>
      <w:hyperlink r:id="rId12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107-1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  <w:r w:rsidRPr="000D09F0">
        <w:rPr>
          <w:rFonts w:ascii="Segoe UI" w:eastAsia="Times New Roman" w:hAnsi="Segoe UI" w:cs="Segoe UI"/>
          <w:i/>
          <w:iCs/>
          <w:color w:val="000000"/>
          <w:kern w:val="0"/>
          <w:sz w:val="21"/>
          <w:szCs w:val="21"/>
          <w:lang w:eastAsia="es-CO"/>
          <w14:ligatures w14:val="none"/>
        </w:rPr>
        <w:t>ibidem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, el cual prevé:</w:t>
      </w:r>
    </w:p>
    <w:p w14:paraId="2C29464A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467A48FE" w14:textId="77777777" w:rsidR="000D09F0" w:rsidRPr="000D09F0" w:rsidRDefault="00A60DDB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hyperlink r:id="rId13" w:tooltip="Estatuto Tributario CETA" w:history="1">
        <w:r w:rsidR="000D09F0"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107-1</w:t>
        </w:r>
      </w:hyperlink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. LIMITACIÓN DE DEDUCCIONES. &lt;Artículo adicionado por el artículo 63 de la Ley 1819 de 2016. El nuevo texto es el siguiente:&gt; Las siguientes deducciones serán aceptadas fiscalmente </w:t>
      </w:r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siempre y cuando se encuentren debidamente soportadas, hagan parte del giro ordinario del negocio, y con las siguientes limitaciones</w:t>
      </w:r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:</w:t>
      </w:r>
    </w:p>
    <w:p w14:paraId="5C4F1662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611A8CD5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(…)</w:t>
      </w:r>
    </w:p>
    <w:p w14:paraId="5299C269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6FC419B9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2. 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Los pagos salariales y prestacionales, cuando provengan de litigios laborales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, serán deducibles en el momento del pago siempre y cuando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se acredite el cumplimiento de la totalidad de los requisitos para la deducción de salarios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. (subrayado fuera de texto)</w:t>
      </w:r>
    </w:p>
    <w:p w14:paraId="511BB768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2F57EB85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Frente a lo señalado en el </w:t>
      </w:r>
      <w:hyperlink r:id="rId14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107-1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en comento, la Subdirección de Normativa y Doctrina explicó en el Oficio 902649 - interno 108 de marzo 26 de 2021:</w:t>
      </w:r>
    </w:p>
    <w:p w14:paraId="5AF325E1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3D011D67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(…) son solo los pagos salariales y prestacionales que provengan de litigios laborales los que resultan deducibles, en los términos señalados por el </w:t>
      </w:r>
      <w:hyperlink r:id="rId15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107-1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del Estatuto Tributario, para lo cual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se debe hacer una interpretación armónica con el citado </w:t>
      </w:r>
      <w:hyperlink r:id="rId16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105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.</w:t>
      </w:r>
    </w:p>
    <w:p w14:paraId="6ED1CB23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016AEBF0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lastRenderedPageBreak/>
        <w:t>En consideración a la anterior conclusión, la deducibilidad del pago de las indemnizaciones por despido con o sin justa causa que provienen de una relación laboral o reglamentaria, deberá considerar lo dispuesto en el </w:t>
      </w:r>
      <w:hyperlink r:id="rId17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artículo 107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del Estatuto Tributario, con el fin de analizar en cada caso si se cumplen los presupuestos allí consagrados. Esta norma establece que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son deducibles las expensas realizadas durante el año o período gravable en el desarrollo de cualquier actividad productora de renta, siempre que tengan relación de causalidad con las actividades productoras de renta y que sean necesarias y proporcionadas de acuerdo con cada actividad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. (subrayado fuera de texto)</w:t>
      </w:r>
    </w:p>
    <w:p w14:paraId="7DEA1127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17A10380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Así las cosas, a partir de una interpretación conjunta de los artículos </w:t>
      </w:r>
      <w:hyperlink r:id="rId18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105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y </w:t>
      </w:r>
      <w:hyperlink r:id="rId19" w:tooltip="Estatuto Tributario CETA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107-1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del Estatuto Tributario se concluye que las condenas de carácter laboral, es decir, que ordenen pagos salariales y prestaciones, son deducibles siempre y cuando se satisfagan la totalidad de los requisitos previstos para ello.</w:t>
      </w:r>
    </w:p>
    <w:p w14:paraId="17100DF5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DF43C48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Ahora bien, uno de dichos requisitos precisamente consiste en la elaboración del documento soporte de pago de nómina electrónica, tal y como se indicó en el Oficio 904137 - interno 691 de 2022 y se detalla a continuación:</w:t>
      </w:r>
    </w:p>
    <w:p w14:paraId="7DB96C8C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4D862142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El artículo 1 de la Resolución DIAN 13 de 2021 define el documento soporte de pago de nómina electrónica así:</w:t>
      </w:r>
    </w:p>
    <w:p w14:paraId="2DB6B81F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5C23A41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Es un documento electrónico que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constituye el soporte de los costos y deducciones en el impuesto sobre la renta y complementarios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e impuestos descontables en el Impuesto sobre las ventas (IVA), cuando aplique,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derivado de los pagos o abonos en cuenta, relacionados con la nómina, que se desprenden de una relación laboral o legal y reglamentaria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y que está compuesto por los valores devengados de nómina, los valores deducidos de nómina y el valor total diferencia de los mismos, el cual se deberá generar y transmitir, para la validación de la Unidad Administrativa Especial Dirección de Impuestos y Aduanas Nacionales (DIAN), de manera independiente para cada uno de los beneficiarios de los pagos realizados, por el sujeto obligado. (subrayado fuera de texto)</w:t>
      </w:r>
    </w:p>
    <w:p w14:paraId="1741A3E9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4C39E262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lastRenderedPageBreak/>
        <w:t>A su vez, el artículo 4 </w:t>
      </w:r>
      <w:r w:rsidRPr="000D09F0">
        <w:rPr>
          <w:rFonts w:ascii="Segoe UI" w:eastAsia="Times New Roman" w:hAnsi="Segoe UI" w:cs="Segoe UI"/>
          <w:i/>
          <w:iCs/>
          <w:color w:val="000000"/>
          <w:kern w:val="0"/>
          <w:sz w:val="21"/>
          <w:szCs w:val="21"/>
          <w:lang w:eastAsia="es-CO"/>
          <w14:ligatures w14:val="none"/>
        </w:rPr>
        <w:t>ibidem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señala:</w:t>
      </w:r>
    </w:p>
    <w:p w14:paraId="63AEA10B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3D64FBDD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ARTÍCULO 4o. SUJETOS OBLIGADOS A GENERAR Y TRASMITIR PARA VALIDACIÓN, EL DOCUMENTO SOPORTE DE PAGO DE NÓMINA ELECTRÓNICA Y LAS NOTAS DE AJUSTE DEL DOCUMENTO SOPORTE DE PAGO DE NÓMINA ELECTRÓNICA. Los sujetos obligados a generar y transmitir para validación el documento soporte de pago de nómina y las notas de ajuste del citado documento, son aquellos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contribuyentes del impuesto sobre la renta y complementarios, que realizan pagos o abonos en cuenta que se derivan de una vinculación, por una relación laboral o legal y reglamentaria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y por pagos a los pensionados a cargo del empleador, que 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u w:val="single"/>
          <w:lang w:eastAsia="es-CO"/>
          <w14:ligatures w14:val="none"/>
        </w:rPr>
        <w:t>requieran soportar los costos y deducciones en el impuesto sobre la renta y complementarios</w:t>
      </w: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e impuestos descontables en el Impuesto sobre las Ventas (IVA), cuando aplique.</w:t>
      </w:r>
    </w:p>
    <w:p w14:paraId="661F1118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50DFAE51" w14:textId="77777777" w:rsidR="000D09F0" w:rsidRPr="000D09F0" w:rsidRDefault="000D09F0" w:rsidP="00FF4E11">
      <w:pPr>
        <w:spacing w:after="0" w:line="360" w:lineRule="auto"/>
        <w:ind w:left="284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(…) (subrayado fuera de texto)</w:t>
      </w:r>
    </w:p>
    <w:p w14:paraId="302F4925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2115E39D" w14:textId="77777777" w:rsidR="000D09F0" w:rsidRPr="00A60DDB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</w:pP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Visto está que el numeral 2 del </w:t>
      </w:r>
      <w:hyperlink r:id="rId20" w:tooltip="Estatuto Tributario CETA" w:history="1">
        <w:r w:rsidRPr="00A60DDB">
          <w:rPr>
            <w:rFonts w:ascii="Segoe UI" w:eastAsia="Times New Roman" w:hAnsi="Segoe UI" w:cs="Segoe UI"/>
            <w:color w:val="0645AD"/>
            <w:kern w:val="0"/>
            <w:sz w:val="28"/>
            <w:szCs w:val="28"/>
            <w:highlight w:val="yellow"/>
            <w:u w:val="single"/>
            <w:lang w:eastAsia="es-CO"/>
            <w14:ligatures w14:val="none"/>
          </w:rPr>
          <w:t>artículo 107-1</w:t>
        </w:r>
      </w:hyperlink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 del Estatuto Tributario exige acreditar “el cumplimiento de la totalidad de los requisitos </w:t>
      </w: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u w:val="single"/>
          <w:lang w:eastAsia="es-CO"/>
          <w14:ligatures w14:val="none"/>
        </w:rPr>
        <w:t>para la deducción de salarios</w:t>
      </w: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” (subrayado fuera de texto) para la procedencia de los pagos salariales y prestacionales, cuando provengan de litigios laborales.</w:t>
      </w:r>
    </w:p>
    <w:p w14:paraId="5FC9C956" w14:textId="77777777" w:rsidR="000D09F0" w:rsidRPr="00A60DDB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</w:pP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 </w:t>
      </w:r>
    </w:p>
    <w:p w14:paraId="5B3DD722" w14:textId="77777777" w:rsidR="000D09F0" w:rsidRPr="00A60DDB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</w:pP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Así, tratándose del pago de estos últimos pagos salariales y prestacionales resulta igualmente exigible la generación y transmisión para validación del documento soporte de pago de nómina electrónica, tal y como se regula en la Resolución DIAN 13 de 2021.</w:t>
      </w:r>
    </w:p>
    <w:p w14:paraId="6E732CF5" w14:textId="77777777" w:rsidR="000D09F0" w:rsidRPr="00A60DDB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</w:pP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 </w:t>
      </w:r>
    </w:p>
    <w:p w14:paraId="5390ABA3" w14:textId="77777777" w:rsidR="000D09F0" w:rsidRPr="00A60DDB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8"/>
          <w:szCs w:val="28"/>
          <w:lang w:eastAsia="es-CO"/>
          <w14:ligatures w14:val="none"/>
        </w:rPr>
      </w:pP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lastRenderedPageBreak/>
        <w:t>Por las razones expuestas, </w:t>
      </w:r>
      <w:r w:rsidRPr="00A60DDB">
        <w:rPr>
          <w:rFonts w:ascii="Segoe UI" w:eastAsia="Times New Roman" w:hAnsi="Segoe UI" w:cs="Segoe UI"/>
          <w:b/>
          <w:bCs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se confirma </w:t>
      </w:r>
      <w:r w:rsidRPr="00A60DDB">
        <w:rPr>
          <w:rFonts w:ascii="Segoe UI" w:eastAsia="Times New Roman" w:hAnsi="Segoe UI" w:cs="Segoe UI"/>
          <w:color w:val="000000"/>
          <w:kern w:val="0"/>
          <w:sz w:val="28"/>
          <w:szCs w:val="28"/>
          <w:highlight w:val="yellow"/>
          <w:lang w:eastAsia="es-CO"/>
          <w14:ligatures w14:val="none"/>
        </w:rPr>
        <w:t>lo expresado en el Oficio 904137 - interno 691 de mayo 25 de 2022.</w:t>
      </w:r>
    </w:p>
    <w:p w14:paraId="70157723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02885B47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En los anteriores términos se resuelve su solicitud y finalmente le manifestamos que la Dirección de Impuestos y Aduanas Nacionales -DIAN-, con el fin de facilitar a los contribuyentes, usuarios y público en general el acceso directo a sus pronunciamientos doctrinarios, ha publicado en su página de internet </w:t>
      </w:r>
      <w:hyperlink r:id="rId21" w:tgtFrame="_blank" w:history="1">
        <w:r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www.dian.gov.co</w:t>
        </w:r>
      </w:hyperlink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 xml:space="preserve">, la base de conceptos en materia tributaria, aduanera y cambiaria expedidos desde el año 2001, la cual se puede ingresar por el ícono de “Normatividad”–“Doctrina”, dando </w:t>
      </w:r>
      <w:proofErr w:type="spellStart"/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click</w:t>
      </w:r>
      <w:proofErr w:type="spellEnd"/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 xml:space="preserve"> en el link “Doctrina Dirección de Gestión Jurídica”.</w:t>
      </w:r>
    </w:p>
    <w:p w14:paraId="44225316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73DA57D8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Atentamente,</w:t>
      </w:r>
    </w:p>
    <w:p w14:paraId="0C9AA499" w14:textId="77777777" w:rsidR="000D09F0" w:rsidRDefault="000D09F0" w:rsidP="00FF4E11">
      <w:pPr>
        <w:spacing w:line="360" w:lineRule="auto"/>
      </w:pPr>
    </w:p>
    <w:p w14:paraId="3A7D4879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>GUSTAVO ALFREDO PERALTA FIGUEREDO</w:t>
      </w:r>
    </w:p>
    <w:p w14:paraId="73521A6D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Director Jurídico</w:t>
      </w:r>
    </w:p>
    <w:p w14:paraId="2FCCCAF3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Dirección de Gestión Jurídica</w:t>
      </w:r>
    </w:p>
    <w:p w14:paraId="5E928FC9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UAE-Dirección de Impuestos y Aduanas Nacionales</w:t>
      </w:r>
    </w:p>
    <w:p w14:paraId="37A3051C" w14:textId="77777777" w:rsidR="000D09F0" w:rsidRPr="000D09F0" w:rsidRDefault="000D09F0" w:rsidP="00FF4E11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</w:p>
    <w:p w14:paraId="0407DD04" w14:textId="77777777" w:rsidR="000D09F0" w:rsidRPr="000D09F0" w:rsidRDefault="000D09F0" w:rsidP="00FF4E11">
      <w:pPr>
        <w:spacing w:after="285" w:line="360" w:lineRule="auto"/>
        <w:jc w:val="both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</w:pPr>
      <w:r w:rsidRPr="000D09F0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s-CO"/>
          <w14:ligatures w14:val="none"/>
        </w:rPr>
        <w:t>Notas al pie</w:t>
      </w:r>
    </w:p>
    <w:p w14:paraId="3CB68DC3" w14:textId="77777777" w:rsidR="000D09F0" w:rsidRPr="000D09F0" w:rsidRDefault="00A60DDB" w:rsidP="00FF4E11">
      <w:pPr>
        <w:spacing w:after="0" w:line="360" w:lineRule="auto"/>
        <w:rPr>
          <w:rFonts w:ascii="Segoe UI" w:eastAsia="Times New Roman" w:hAnsi="Segoe UI" w:cs="Segoe UI"/>
          <w:kern w:val="0"/>
          <w:sz w:val="21"/>
          <w:szCs w:val="21"/>
          <w:lang w:eastAsia="es-C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s-CO"/>
          <w14:ligatures w14:val="none"/>
        </w:rPr>
        <w:pict w14:anchorId="35DEAC1B">
          <v:rect id="_x0000_i1025" style="width:0;height:1.5pt" o:hrstd="t" o:hrnoshade="t" o:hr="t" fillcolor="black" stroked="f"/>
        </w:pict>
      </w:r>
    </w:p>
    <w:p w14:paraId="42694B3B" w14:textId="77777777" w:rsidR="000D09F0" w:rsidRPr="000D09F0" w:rsidRDefault="00A60DDB" w:rsidP="00FF4E11">
      <w:pPr>
        <w:numPr>
          <w:ilvl w:val="1"/>
          <w:numId w:val="1"/>
        </w:numPr>
        <w:spacing w:before="100" w:beforeAutospacing="1" w:after="100" w:afterAutospacing="1" w:line="360" w:lineRule="auto"/>
        <w:ind w:left="720"/>
        <w:jc w:val="both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</w:pPr>
      <w:hyperlink r:id="rId22" w:anchor="cite_ref-1" w:tooltip="Volver arriba" w:history="1">
        <w:r w:rsidR="000D09F0" w:rsidRPr="000D09F0">
          <w:rPr>
            <w:rFonts w:ascii="Segoe UI" w:eastAsia="Times New Roman" w:hAnsi="Segoe UI" w:cs="Segoe UI"/>
            <w:color w:val="0645AD"/>
            <w:kern w:val="0"/>
            <w:sz w:val="21"/>
            <w:szCs w:val="21"/>
            <w:u w:val="single"/>
            <w:lang w:eastAsia="es-CO"/>
            <w14:ligatures w14:val="none"/>
          </w:rPr>
          <w:t>↑</w:t>
        </w:r>
      </w:hyperlink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 </w:t>
      </w:r>
      <w:proofErr w:type="spellStart"/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Num</w:t>
      </w:r>
      <w:proofErr w:type="spellEnd"/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 xml:space="preserve">. 20, Art. 55, </w:t>
      </w:r>
      <w:proofErr w:type="spellStart"/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Dec</w:t>
      </w:r>
      <w:proofErr w:type="spellEnd"/>
      <w:r w:rsidR="000D09F0" w:rsidRPr="000D09F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s-CO"/>
          <w14:ligatures w14:val="none"/>
        </w:rPr>
        <w:t>. 1742 de 2020.</w:t>
      </w:r>
    </w:p>
    <w:p w14:paraId="237ECD10" w14:textId="77777777" w:rsidR="000D09F0" w:rsidRDefault="000D09F0" w:rsidP="00FF4E11">
      <w:pPr>
        <w:spacing w:line="360" w:lineRule="auto"/>
      </w:pPr>
    </w:p>
    <w:sectPr w:rsidR="000D09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5786D"/>
    <w:multiLevelType w:val="multilevel"/>
    <w:tmpl w:val="6606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69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F0"/>
    <w:rsid w:val="000D09F0"/>
    <w:rsid w:val="00401052"/>
    <w:rsid w:val="00A60DDB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3C2BA3"/>
  <w15:chartTrackingRefBased/>
  <w15:docId w15:val="{B782253C-6BBB-42C3-85CC-10796C4F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09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09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09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09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09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09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09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09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09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09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09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09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09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09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0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09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09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0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09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09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09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09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0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153" TargetMode="External"/><Relationship Id="rId13" Type="http://schemas.openxmlformats.org/officeDocument/2006/relationships/hyperlink" Target="https://www.ceta.org.co/html/vista_de_un_articulo.asp?Norma=42479" TargetMode="External"/><Relationship Id="rId18" Type="http://schemas.openxmlformats.org/officeDocument/2006/relationships/hyperlink" Target="https://www.ceta.org.co/html/vista_de_un_articulo.asp?Norma=1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ian.gov.co/" TargetMode="External"/><Relationship Id="rId7" Type="http://schemas.openxmlformats.org/officeDocument/2006/relationships/hyperlink" Target="https://www.ceta.org.co/html/vista_de_un_documento.asp?DocumentoID=51300" TargetMode="External"/><Relationship Id="rId12" Type="http://schemas.openxmlformats.org/officeDocument/2006/relationships/hyperlink" Target="https://www.ceta.org.co/html/vista_de_un_articulo.asp?Norma=42479" TargetMode="External"/><Relationship Id="rId17" Type="http://schemas.openxmlformats.org/officeDocument/2006/relationships/hyperlink" Target="https://www.ceta.org.co/html/vista_de_un_articulo.asp?Norma=1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ta.org.co/html/vista_de_un_articulo.asp?Norma=153" TargetMode="External"/><Relationship Id="rId20" Type="http://schemas.openxmlformats.org/officeDocument/2006/relationships/hyperlink" Target="https://www.ceta.org.co/html/vista_de_un_articulo.asp?Norma=424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eta.org.co/html/vista_de_un_articulo.asp?Norma=42479" TargetMode="External"/><Relationship Id="rId11" Type="http://schemas.openxmlformats.org/officeDocument/2006/relationships/hyperlink" Target="https://www.ceta.org.co/html/vista_de_un_articulo.asp?Norma=15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eta.org.co/html/vista_de_un_articulo.asp?Norma=153" TargetMode="External"/><Relationship Id="rId15" Type="http://schemas.openxmlformats.org/officeDocument/2006/relationships/hyperlink" Target="https://www.ceta.org.co/html/vista_de_un_articulo.asp?Norma=4247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eta.org.co/html/vista_de_un_articulo.asp?Norma=42479" TargetMode="External"/><Relationship Id="rId19" Type="http://schemas.openxmlformats.org/officeDocument/2006/relationships/hyperlink" Target="https://www.ceta.org.co/html/vista_de_un_articulo.asp?Norma=42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ta.org.co/html/vista_de_un_articulo.asp?Norma=153" TargetMode="External"/><Relationship Id="rId14" Type="http://schemas.openxmlformats.org/officeDocument/2006/relationships/hyperlink" Target="https://www.ceta.org.co/html/vista_de_un_articulo.asp?Norma=42479" TargetMode="External"/><Relationship Id="rId22" Type="http://schemas.openxmlformats.org/officeDocument/2006/relationships/hyperlink" Target="https://www.ceta.org.co/html/vista_de_un_documento.asp?DocumentoID=5130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1707</Words>
  <Characters>9389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Lòpez</dc:creator>
  <cp:keywords/>
  <dc:description/>
  <cp:lastModifiedBy>Diana Alexandra Orozco Lòpez</cp:lastModifiedBy>
  <cp:revision>3</cp:revision>
  <dcterms:created xsi:type="dcterms:W3CDTF">2024-04-17T19:22:00Z</dcterms:created>
  <dcterms:modified xsi:type="dcterms:W3CDTF">2024-05-01T16:44:00Z</dcterms:modified>
</cp:coreProperties>
</file>