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9FEF" w14:textId="77777777" w:rsidR="00401052" w:rsidRDefault="00401052" w:rsidP="00FF4E11">
      <w:pPr>
        <w:spacing w:line="360" w:lineRule="auto"/>
      </w:pPr>
    </w:p>
    <w:p w14:paraId="4167BB0B" w14:textId="77777777" w:rsidR="000D09F0" w:rsidRDefault="000D09F0" w:rsidP="00FF4E11">
      <w:pPr>
        <w:spacing w:line="360" w:lineRule="auto"/>
      </w:pPr>
    </w:p>
    <w:p w14:paraId="3A2D1EC9" w14:textId="77777777" w:rsidR="000D09F0" w:rsidRPr="000D09F0" w:rsidRDefault="000D09F0" w:rsidP="00FF4E11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CONCEPTO </w:t>
      </w:r>
      <w:proofErr w:type="spellStart"/>
      <w:r w:rsidRPr="000D09F0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0D09F0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0445 [001511]</w:t>
      </w:r>
    </w:p>
    <w:p w14:paraId="7002CF59" w14:textId="77777777" w:rsidR="000D09F0" w:rsidRPr="000D09F0" w:rsidRDefault="000D09F0" w:rsidP="00FF4E11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02-03-2024</w:t>
      </w:r>
    </w:p>
    <w:p w14:paraId="36D96A5D" w14:textId="77777777" w:rsidR="000D09F0" w:rsidRPr="000D09F0" w:rsidRDefault="000D09F0" w:rsidP="00FF4E11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DIAN</w:t>
      </w:r>
    </w:p>
    <w:p w14:paraId="4DD25451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8F97BCC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60F08D1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100202208-0445</w:t>
      </w:r>
    </w:p>
    <w:p w14:paraId="79D20D3E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A530321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</w:t>
      </w:r>
    </w:p>
    <w:p w14:paraId="2DABC95A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5492"/>
      </w:tblGrid>
      <w:tr w:rsidR="000D09F0" w:rsidRPr="000D09F0" w14:paraId="071FC4CE" w14:textId="77777777" w:rsidTr="000D09F0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85CA9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Tema: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E78681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Procedimiento tributario</w:t>
            </w:r>
          </w:p>
        </w:tc>
      </w:tr>
      <w:tr w:rsidR="000D09F0" w:rsidRPr="000D09F0" w14:paraId="01DEA631" w14:textId="77777777" w:rsidTr="000D09F0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DC051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Descriptores: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7DE13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Sistema de facturación electrónica</w:t>
            </w:r>
          </w:p>
          <w:p w14:paraId="1DEF56B9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Documento soporte de pago de nómina electrónica</w:t>
            </w:r>
          </w:p>
        </w:tc>
      </w:tr>
      <w:tr w:rsidR="000D09F0" w:rsidRPr="000D09F0" w14:paraId="48EA0EBA" w14:textId="77777777" w:rsidTr="000D09F0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A5501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Fuentes formales: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BF1D7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Artículos </w:t>
            </w:r>
            <w:hyperlink r:id="rId5" w:tooltip="Estatuto Tributario CETA" w:history="1">
              <w:r w:rsidRPr="000D09F0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105</w:t>
              </w:r>
            </w:hyperlink>
            <w:r w:rsidRPr="000D09F0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y </w:t>
            </w:r>
            <w:hyperlink r:id="rId6" w:tooltip="Estatuto Tributario CETA" w:history="1">
              <w:r w:rsidRPr="000D09F0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107-1</w:t>
              </w:r>
            </w:hyperlink>
            <w:r w:rsidRPr="000D09F0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del Estatuto Tributario</w:t>
            </w:r>
          </w:p>
          <w:p w14:paraId="713993DA" w14:textId="77777777" w:rsidR="000D09F0" w:rsidRPr="000D09F0" w:rsidRDefault="000D09F0" w:rsidP="00FF4E1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0D09F0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Artículos 1 y 4 de la Resolución DIAN 13 de 2021</w:t>
            </w:r>
          </w:p>
        </w:tc>
      </w:tr>
    </w:tbl>
    <w:p w14:paraId="5643CB36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1D7C810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E22C170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Cordial saludo,</w:t>
      </w:r>
    </w:p>
    <w:p w14:paraId="2663C54D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C94DCC2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Corresponde a este Despacho evaluar la reconsideración de los conceptos expedidos por la Subdirección de Normativa y Doctrina</w:t>
      </w:r>
      <w:hyperlink r:id="rId7" w:anchor="cite_note-1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vertAlign w:val="superscript"/>
            <w:lang w:eastAsia="es-CO"/>
            <w14:ligatures w14:val="none"/>
          </w:rPr>
          <w:t>1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55E5EABF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06B8D48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Mediante el radicado de la referencia, el peticionario solicita la reconsideración del Oficio 904137 - interno 691 de mayo 25 de 2022 pues, según el literal c) del numeral 2 del </w:t>
      </w:r>
      <w:hyperlink r:id="rId8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105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Tributario, las multas, sanciones, penalidades, intereses moratorios de carácter sancionatorio y las condenas provenientes de procesos administrativos, judiciales o arbitrales no son deducibles del impuesto sobre la renta.</w:t>
      </w:r>
    </w:p>
    <w:p w14:paraId="6917F293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6C1CF23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el pronunciamiento objeto de disenso la Subdirección de Normativa y Doctrina manifestó:</w:t>
      </w:r>
    </w:p>
    <w:p w14:paraId="64345478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 </w:t>
      </w:r>
    </w:p>
    <w:p w14:paraId="469968DE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 “(…) ¿los pagos laborales (salariales, prestacionales, etc.) cuando provengan de litigios laborales se deben incluir en el documento soporte de pago de nómina electrónica?”</w:t>
      </w:r>
    </w:p>
    <w:p w14:paraId="0658EE5C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CBCED81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14:paraId="16F03C8A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94F4956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 documento soporte de pago de nómina electrónica y las notas de ajuste que se derivan del citado documento, se origina por los pagos o abonos en cuenta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relacionados con la nómina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entendidos ellos como aquellos que se desprenden de una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relación laboral o legal y reglamentaria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así como por los pagos a pensionados a cargo del empleador. A la luz de la normatividad vigente, éste tiene como finalidad constituir el soporte de los costos y deducciones en el impuesto sobre la renta y complementarios e impuestos descontables en el impuesto sobre las ventas -IVA de las mencionadas erogaciones para el empleador (cfr. artículo 2º de la Resolución DIAN No. 000013 de 2021).</w:t>
      </w:r>
    </w:p>
    <w:p w14:paraId="11BD1B7F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ED493E8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Teniendo en cuenta lo anterior, y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siempre que los pagos al trabajador provenientes de una sentencia judicial correspondan a pagos derivados de la relación laboral o legal y reglamentaria, deberán ser incluidos en el documento soporte de pago de nómina electrónica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para constituir el soporte del costo, deducción o descontable.</w:t>
      </w:r>
    </w:p>
    <w:p w14:paraId="5C3AEAAB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B499596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De manera que, los valores señalados en dicha sentencia que cumplan los criterios legales vigentes para ser considerados costos, deducciones e impuestos descontables y que se ajusten a lo explicado en el párrafo anterior (así como a la normativa vigente aplicable),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se deberán incluir en el documento electrónico correspondiente al mes dentro del cual se da el pago o abono en cuenta, lo que suceda primero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de los conceptos derivados de la relación laboral o legal y reglamentaria originados en el fallo correspondiente. Lo anterior, en concordancia con lo dispuesto en los artículos 2 y 3 de la Resolución DIAN No. 000013 de 2021. (subrayado fuera de texto)</w:t>
      </w:r>
    </w:p>
    <w:p w14:paraId="30FC71D0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FA6F5A1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Sobre el particular, las consideraciones de este Despacho son las siguientes:</w:t>
      </w:r>
    </w:p>
    <w:p w14:paraId="2329FCC1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CD234BC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El </w:t>
      </w:r>
      <w:hyperlink r:id="rId9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105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en el literal c) de su numeral 2 señala que “Las multas, sanciones, penalidades, intereses moratorios de carácter sancionatorio y las condenas provenientes de procesos administrativos, judiciales o arbitrales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diferentes a las laborales con sujeción a lo prevista (sic) en el numeral 3 (sic) del </w:t>
      </w:r>
      <w:hyperlink r:id="rId10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107-1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 de este estatuto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” (subrayado fuera de texto) son gastos que no cumplen con los requisitos establecidos en la Ley para su deducción en el impuesto sobre la renta y complementarios, motivo por el cual generan diferencias permanentes.</w:t>
      </w:r>
    </w:p>
    <w:p w14:paraId="473DC1C0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73EB818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Nótese que, en el caso de condenas provenientes de procesos administrativos, judiciales o arbitrales, el </w:t>
      </w:r>
      <w:hyperlink r:id="rId11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105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  <w:r w:rsidRPr="000D09F0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ibidem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no incluye las condenas de carácter laboral, teniendo en cuenta lo señalado en el numeral 2 del </w:t>
      </w:r>
      <w:hyperlink r:id="rId12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107-1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  <w:r w:rsidRPr="000D09F0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ibidem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el cual prevé:</w:t>
      </w:r>
    </w:p>
    <w:p w14:paraId="2C29464A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67A48FE" w14:textId="77777777" w:rsidR="000D09F0" w:rsidRPr="000D09F0" w:rsidRDefault="00A60DDB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13" w:tooltip="Estatuto Tributario CETA" w:history="1">
        <w:r w:rsidR="000D09F0"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107-1</w:t>
        </w:r>
      </w:hyperlink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LIMITACIÓN DE DEDUCCIONES. &lt;Artículo adicionado por el artículo 63 de la Ley 1819 de 2016. El nuevo texto es el siguiente:&gt; Las siguientes deducciones serán aceptadas fiscalmente </w:t>
      </w:r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siempre y cuando se encuentren debidamente soportadas, hagan parte del giro ordinario del negocio, y con las siguientes limitaciones</w:t>
      </w:r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:</w:t>
      </w:r>
    </w:p>
    <w:p w14:paraId="5C4F1662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11A8CD5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</w:t>
      </w:r>
    </w:p>
    <w:p w14:paraId="5299C269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FC419B9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2. 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Los pagos salariales y prestacionales, cuando provengan de litigios laborales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serán deducibles en el momento del pago siempre y cuando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se acredite el cumplimiento de la totalidad de los requisitos para la deducción de salarios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(subrayado fuera de texto)</w:t>
      </w:r>
    </w:p>
    <w:p w14:paraId="511BB768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F57EB85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Frente a lo señalado en el </w:t>
      </w:r>
      <w:hyperlink r:id="rId14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107-1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en comento, la Subdirección de Normativa y Doctrina explicó en el Oficio 902649 - interno 108 de marzo 26 de 2021:</w:t>
      </w:r>
    </w:p>
    <w:p w14:paraId="5AF325E1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D011D67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 son solo los pagos salariales y prestacionales que provengan de litigios laborales los que resultan deducibles, en los términos señalados por el </w:t>
      </w:r>
      <w:hyperlink r:id="rId15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107-1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Tributario, para lo cual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se debe hacer una interpretación armónica con el citado </w:t>
      </w:r>
      <w:hyperlink r:id="rId16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105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6ED1CB23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16AEBF0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En consideración a la anterior conclusión, la deducibilidad del pago de las indemnizaciones por despido con o sin justa causa que provienen de una relación laboral o reglamentaria, deberá considerar lo dispuesto en el </w:t>
      </w:r>
      <w:hyperlink r:id="rId17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107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Tributario, con el fin de analizar en cada caso si se cumplen los presupuestos allí consagrados. Esta norma establece que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son deducibles las expensas realizadas durante el año o período gravable en el desarrollo de cualquier actividad productora de renta, siempre que tengan relación de causalidad con las actividades productoras de renta y que sean necesarias y proporcionadas de acuerdo con cada actividad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(subrayado fuera de texto)</w:t>
      </w:r>
    </w:p>
    <w:p w14:paraId="7DEA1127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7A10380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Así las cosas, a partir de una interpretación conjunta de los artículos </w:t>
      </w:r>
      <w:hyperlink r:id="rId18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105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 </w:t>
      </w:r>
      <w:hyperlink r:id="rId19" w:tooltip="Estatuto Tributario CETA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107-1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se concluye que las condenas de carácter laboral, es decir, que ordenen pagos salariales y prestaciones, son deducibles siempre y cuando se satisfagan la totalidad de los requisitos previstos para ello.</w:t>
      </w:r>
    </w:p>
    <w:p w14:paraId="17100DF5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DF43C48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Ahora bien, uno de dichos requisitos precisamente consiste en la elaboración del documento soporte de pago de nómina electrónica, tal y como se indicó en el Oficio 904137 - interno 691 de 2022 y se detalla a continuación:</w:t>
      </w:r>
    </w:p>
    <w:p w14:paraId="7DB96C8C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D862142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 artículo 1 de la Resolución DIAN 13 de 2021 define el documento soporte de pago de nómina electrónica así:</w:t>
      </w:r>
    </w:p>
    <w:p w14:paraId="2DB6B81F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5C23A41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Es un documento electrónico que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constituye el soporte de los costos y deducciones en el impuesto sobre la renta y complementarios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e impuestos descontables en el Impuesto sobre las ventas (IVA), cuando aplique,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derivado de los pagos o abonos en cuenta, relacionados con la nómina, que se desprenden de una relación laboral o legal y reglamentaria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 que está compuesto por los valores devengados de nómina, los valores deducidos de nómina y el valor total diferencia de los mismos, el cual se deberá generar y transmitir, para la validación de la Unidad Administrativa Especial Dirección de Impuestos y Aduanas Nacionales (DIAN), de manera independiente para cada uno de los beneficiarios de los pagos realizados, por el sujeto obligado. (subrayado fuera de texto)</w:t>
      </w:r>
    </w:p>
    <w:p w14:paraId="1741A3E9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C39E262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A su vez, el artículo 4 </w:t>
      </w:r>
      <w:r w:rsidRPr="000D09F0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ibidem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señala:</w:t>
      </w:r>
    </w:p>
    <w:p w14:paraId="63AEA10B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D64FBDD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ARTÍCULO 4o. SUJETOS OBLIGADOS A GENERAR Y TRASMITIR PARA VALIDACIÓN, EL DOCUMENTO SOPORTE DE PAGO DE NÓMINA ELECTRÓNICA Y LAS NOTAS DE AJUSTE DEL DOCUMENTO SOPORTE DE PAGO DE NÓMINA ELECTRÓNICA. Los sujetos obligados a generar y transmitir para validación el documento soporte de pago de nómina y las notas de ajuste del citado documento, son aquellos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contribuyentes del impuesto sobre la renta y complementarios, que realizan pagos o abonos en cuenta que se derivan de una vinculación, por una relación laboral o legal y reglamentaria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 por pagos a los pensionados a cargo del empleador, que 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requieran soportar los costos y deducciones en el impuesto sobre la renta y complementarios</w:t>
      </w: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e impuestos descontables en el Impuesto sobre las Ventas (IVA), cuando aplique.</w:t>
      </w:r>
    </w:p>
    <w:p w14:paraId="661F1118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0DFAE51" w14:textId="77777777" w:rsidR="000D09F0" w:rsidRPr="000D09F0" w:rsidRDefault="000D09F0" w:rsidP="00FF4E11">
      <w:pPr>
        <w:spacing w:after="0" w:line="36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(…) (subrayado fuera de texto)</w:t>
      </w:r>
    </w:p>
    <w:p w14:paraId="302F4925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115E39D" w14:textId="77777777" w:rsidR="000D09F0" w:rsidRPr="00A60DDB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</w:pP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Visto está que el numeral 2 del </w:t>
      </w:r>
      <w:hyperlink r:id="rId20" w:tooltip="Estatuto Tributario CETA" w:history="1">
        <w:r w:rsidRPr="00A60DDB">
          <w:rPr>
            <w:rFonts w:ascii="Segoe UI" w:eastAsia="Times New Roman" w:hAnsi="Segoe UI" w:cs="Segoe UI"/>
            <w:color w:val="0645AD"/>
            <w:kern w:val="0"/>
            <w:sz w:val="28"/>
            <w:szCs w:val="28"/>
            <w:highlight w:val="yellow"/>
            <w:u w:val="single"/>
            <w:lang w:eastAsia="es-CO"/>
            <w14:ligatures w14:val="none"/>
          </w:rPr>
          <w:t>artículo 107-1</w:t>
        </w:r>
      </w:hyperlink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 del Estatuto Tributario exige acreditar “el cumplimiento de la totalidad de los requisitos </w:t>
      </w: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u w:val="single"/>
          <w:lang w:eastAsia="es-CO"/>
          <w14:ligatures w14:val="none"/>
        </w:rPr>
        <w:t>para la deducción de salarios</w:t>
      </w: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” (subrayado fuera de texto) para la procedencia de los pagos salariales y prestacionales, cuando provengan de litigios laborales.</w:t>
      </w:r>
    </w:p>
    <w:p w14:paraId="5FC9C956" w14:textId="77777777" w:rsidR="000D09F0" w:rsidRPr="00A60DDB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</w:pP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 </w:t>
      </w:r>
    </w:p>
    <w:p w14:paraId="5B3DD722" w14:textId="77777777" w:rsidR="000D09F0" w:rsidRPr="00A60DDB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</w:pP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Así, tratándose del pago de estos últimos pagos salariales y prestacionales resulta igualmente exigible la generación y transmisión para validación del documento soporte de pago de nómina electrónica, tal y como se regula en la Resolución DIAN 13 de 2021.</w:t>
      </w:r>
    </w:p>
    <w:p w14:paraId="6E732CF5" w14:textId="77777777" w:rsidR="000D09F0" w:rsidRPr="00A60DDB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</w:pP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 </w:t>
      </w:r>
    </w:p>
    <w:p w14:paraId="5390ABA3" w14:textId="77777777" w:rsidR="000D09F0" w:rsidRPr="00A60DDB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8"/>
          <w:szCs w:val="28"/>
          <w:lang w:eastAsia="es-CO"/>
          <w14:ligatures w14:val="none"/>
        </w:rPr>
      </w:pP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lastRenderedPageBreak/>
        <w:t>Por las razones expuestas, </w:t>
      </w:r>
      <w:r w:rsidRPr="00A60DDB">
        <w:rPr>
          <w:rFonts w:ascii="Segoe UI" w:eastAsia="Times New Roman" w:hAnsi="Segoe UI" w:cs="Segoe UI"/>
          <w:b/>
          <w:bCs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se confirma </w:t>
      </w:r>
      <w:r w:rsidRPr="00A60DDB">
        <w:rPr>
          <w:rFonts w:ascii="Segoe UI" w:eastAsia="Times New Roman" w:hAnsi="Segoe UI" w:cs="Segoe UI"/>
          <w:color w:val="000000"/>
          <w:kern w:val="0"/>
          <w:sz w:val="28"/>
          <w:szCs w:val="28"/>
          <w:highlight w:val="yellow"/>
          <w:lang w:eastAsia="es-CO"/>
          <w14:ligatures w14:val="none"/>
        </w:rPr>
        <w:t>lo expresado en el Oficio 904137 - interno 691 de mayo 25 de 2022.</w:t>
      </w:r>
    </w:p>
    <w:p w14:paraId="70157723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2885B47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21" w:tgtFrame="_blank" w:history="1">
        <w:r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www.dian.gov.co</w:t>
        </w:r>
      </w:hyperlink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, la base de conceptos en materia tributaria, aduanera y cambiaria expedidos desde el año 2001, la cual se puede ingresar por el ícono de “Normatividad”–“Doctrina”, dando </w:t>
      </w:r>
      <w:proofErr w:type="spellStart"/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click</w:t>
      </w:r>
      <w:proofErr w:type="spellEnd"/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 en el link “Doctrina Dirección de Gestión Jurídica”.</w:t>
      </w:r>
    </w:p>
    <w:p w14:paraId="44225316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3DA57D8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Atentamente,</w:t>
      </w:r>
    </w:p>
    <w:p w14:paraId="0C9AA499" w14:textId="77777777" w:rsidR="000D09F0" w:rsidRDefault="000D09F0" w:rsidP="00FF4E11">
      <w:pPr>
        <w:spacing w:line="360" w:lineRule="auto"/>
      </w:pPr>
    </w:p>
    <w:p w14:paraId="3A7D4879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GUSTAVO ALFREDO PERALTA FIGUEREDO</w:t>
      </w:r>
    </w:p>
    <w:p w14:paraId="73521A6D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Director Jurídico</w:t>
      </w:r>
    </w:p>
    <w:p w14:paraId="2FCCCAF3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Dirección de Gestión Jurídica</w:t>
      </w:r>
    </w:p>
    <w:p w14:paraId="5E928FC9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UAE-Dirección de Impuestos y Aduanas Nacionales</w:t>
      </w:r>
    </w:p>
    <w:p w14:paraId="37A3051C" w14:textId="77777777" w:rsidR="000D09F0" w:rsidRPr="000D09F0" w:rsidRDefault="000D09F0" w:rsidP="00FF4E1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407DD04" w14:textId="77777777" w:rsidR="000D09F0" w:rsidRPr="000D09F0" w:rsidRDefault="000D09F0" w:rsidP="00FF4E11">
      <w:pPr>
        <w:spacing w:after="285" w:line="36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</w:pPr>
      <w:r w:rsidRPr="000D09F0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Notas al pie</w:t>
      </w:r>
    </w:p>
    <w:p w14:paraId="3CB68DC3" w14:textId="77777777" w:rsidR="000D09F0" w:rsidRPr="000D09F0" w:rsidRDefault="00A60DDB" w:rsidP="00FF4E11">
      <w:pPr>
        <w:spacing w:after="0" w:line="360" w:lineRule="auto"/>
        <w:rPr>
          <w:rFonts w:ascii="Segoe UI" w:eastAsia="Times New Roman" w:hAnsi="Segoe UI" w:cs="Segoe UI"/>
          <w:kern w:val="0"/>
          <w:sz w:val="21"/>
          <w:szCs w:val="21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pict w14:anchorId="35DEAC1B">
          <v:rect id="_x0000_i1025" style="width:0;height:1.5pt" o:hrstd="t" o:hrnoshade="t" o:hr="t" fillcolor="black" stroked="f"/>
        </w:pict>
      </w:r>
    </w:p>
    <w:p w14:paraId="42694B3B" w14:textId="77777777" w:rsidR="000D09F0" w:rsidRPr="000D09F0" w:rsidRDefault="00A60DDB" w:rsidP="00FF4E11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2" w:anchor="cite_ref-1" w:tooltip="Volver arriba" w:history="1">
        <w:r w:rsidR="000D09F0" w:rsidRPr="000D09F0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↑</w:t>
        </w:r>
      </w:hyperlink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  <w:proofErr w:type="spellStart"/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Num</w:t>
      </w:r>
      <w:proofErr w:type="spellEnd"/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. 20, Art. 55, </w:t>
      </w:r>
      <w:proofErr w:type="spellStart"/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Dec</w:t>
      </w:r>
      <w:proofErr w:type="spellEnd"/>
      <w:r w:rsidR="000D09F0" w:rsidRPr="000D09F0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1742 de 2020.</w:t>
      </w:r>
    </w:p>
    <w:p w14:paraId="237ECD10" w14:textId="77777777" w:rsidR="000D09F0" w:rsidRDefault="000D09F0" w:rsidP="00FF4E11">
      <w:pPr>
        <w:spacing w:line="360" w:lineRule="auto"/>
      </w:pPr>
    </w:p>
    <w:sectPr w:rsidR="000D0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5786D"/>
    <w:multiLevelType w:val="multilevel"/>
    <w:tmpl w:val="6606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69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F0"/>
    <w:rsid w:val="000D09F0"/>
    <w:rsid w:val="00401052"/>
    <w:rsid w:val="00A60DDB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C2BA3"/>
  <w15:chartTrackingRefBased/>
  <w15:docId w15:val="{B782253C-6BBB-42C3-85CC-10796C4F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09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09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09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09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9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9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09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0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09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09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09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09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9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9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09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0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09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09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09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09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09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0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09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0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53" TargetMode="External"/><Relationship Id="rId13" Type="http://schemas.openxmlformats.org/officeDocument/2006/relationships/hyperlink" Target="https://www.ceta.org.co/html/vista_de_un_articulo.asp?Norma=42479" TargetMode="External"/><Relationship Id="rId18" Type="http://schemas.openxmlformats.org/officeDocument/2006/relationships/hyperlink" Target="https://www.ceta.org.co/html/vista_de_un_articulo.asp?Norma=1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an.gov.co/" TargetMode="External"/><Relationship Id="rId7" Type="http://schemas.openxmlformats.org/officeDocument/2006/relationships/hyperlink" Target="https://www.ceta.org.co/html/vista_de_un_documento.asp?DocumentoID=51300" TargetMode="External"/><Relationship Id="rId12" Type="http://schemas.openxmlformats.org/officeDocument/2006/relationships/hyperlink" Target="https://www.ceta.org.co/html/vista_de_un_articulo.asp?Norma=42479" TargetMode="External"/><Relationship Id="rId17" Type="http://schemas.openxmlformats.org/officeDocument/2006/relationships/hyperlink" Target="https://www.ceta.org.co/html/vista_de_un_articulo.asp?Norma=1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ta.org.co/html/vista_de_un_articulo.asp?Norma=153" TargetMode="External"/><Relationship Id="rId20" Type="http://schemas.openxmlformats.org/officeDocument/2006/relationships/hyperlink" Target="https://www.ceta.org.co/html/vista_de_un_articulo.asp?Norma=424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42479" TargetMode="External"/><Relationship Id="rId11" Type="http://schemas.openxmlformats.org/officeDocument/2006/relationships/hyperlink" Target="https://www.ceta.org.co/html/vista_de_un_articulo.asp?Norma=15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153" TargetMode="External"/><Relationship Id="rId15" Type="http://schemas.openxmlformats.org/officeDocument/2006/relationships/hyperlink" Target="https://www.ceta.org.co/html/vista_de_un_articulo.asp?Norma=424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eta.org.co/html/vista_de_un_articulo.asp?Norma=42479" TargetMode="External"/><Relationship Id="rId19" Type="http://schemas.openxmlformats.org/officeDocument/2006/relationships/hyperlink" Target="https://www.ceta.org.co/html/vista_de_un_articulo.asp?Norma=42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153" TargetMode="External"/><Relationship Id="rId14" Type="http://schemas.openxmlformats.org/officeDocument/2006/relationships/hyperlink" Target="https://www.ceta.org.co/html/vista_de_un_articulo.asp?Norma=42479" TargetMode="External"/><Relationship Id="rId22" Type="http://schemas.openxmlformats.org/officeDocument/2006/relationships/hyperlink" Target="https://www.ceta.org.co/html/vista_de_un_documento.asp?DocumentoID=513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Lòpez</dc:creator>
  <cp:keywords/>
  <dc:description/>
  <cp:lastModifiedBy>Diana Alexandra Orozco Lòpez</cp:lastModifiedBy>
  <cp:revision>3</cp:revision>
  <dcterms:created xsi:type="dcterms:W3CDTF">2024-04-17T19:22:00Z</dcterms:created>
  <dcterms:modified xsi:type="dcterms:W3CDTF">2024-05-01T16:44:00Z</dcterms:modified>
</cp:coreProperties>
</file>